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b3944005a4d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 4GEN14</w:t>
            </w:r>
            <w:r>
              <w:rPr>
                <w:b/>
              </w:rPr>
              <w:br/>
            </w:r>
            <w:r>
              <w:rPr>
                <w:b/>
              </w:rPr>
              <w:t>Manage operational aspects of refurbishment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224ae1d22047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bfca3842e14dbd" /><Relationship Type="http://schemas.openxmlformats.org/officeDocument/2006/relationships/numbering" Target="/word/numbering.xml" Id="R88f9940cf2414c37" /><Relationship Type="http://schemas.openxmlformats.org/officeDocument/2006/relationships/settings" Target="/word/settings.xml" Id="R013433523ccd4d6a" /><Relationship Type="http://schemas.openxmlformats.org/officeDocument/2006/relationships/image" Target="/word/media/63e02ae5-637b-478f-bcb6-0ebfefb18f8a.png" Id="Re8224ae1d22047d5" /></Relationships>
</file>