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b89b9f54ae4a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PPL2GS1</w:t>
            </w:r>
            <w:r>
              <w:rPr>
                <w:b/>
              </w:rPr>
              <w:br/>
            </w:r>
            <w:r>
              <w:rPr>
                <w:b/>
              </w:rPr>
              <w:t>Support the protection of children and vulnerable people from gambling related harm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71582c32a3741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63336ba861a462f" /><Relationship Type="http://schemas.openxmlformats.org/officeDocument/2006/relationships/numbering" Target="/word/numbering.xml" Id="R753f910f49a34ffd" /><Relationship Type="http://schemas.openxmlformats.org/officeDocument/2006/relationships/settings" Target="/word/settings.xml" Id="R01935b56a741434c" /><Relationship Type="http://schemas.openxmlformats.org/officeDocument/2006/relationships/image" Target="/word/media/67950260-d78b-4500-8829-54babf394fe2.png" Id="R471582c32a374187" /></Relationships>
</file>