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95f7a1e8ce4f8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PPLFOS23L</w:t>
            </w:r>
            <w:r>
              <w:rPr>
                <w:b/>
              </w:rPr>
              <w:br/>
            </w:r>
            <w:r>
              <w:rPr>
                <w:b/>
              </w:rPr>
              <w:t>Handle family conflict or disputes whilst clients of your funeral business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447f261e94f42e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1f168312d6a400d" /><Relationship Type="http://schemas.openxmlformats.org/officeDocument/2006/relationships/numbering" Target="/word/numbering.xml" Id="R597e9008cd224c14" /><Relationship Type="http://schemas.openxmlformats.org/officeDocument/2006/relationships/settings" Target="/word/settings.xml" Id="Rf448fa669b1a41ef" /><Relationship Type="http://schemas.openxmlformats.org/officeDocument/2006/relationships/image" Target="/word/media/9bbed4f3-d7be-49ea-affe-068d35883400.png" Id="R2447f261e94f42e3" /></Relationships>
</file>