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e7f0834b0e41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LANAqu22</w:t>
            </w:r>
            <w:r>
              <w:rPr>
                <w:b/>
              </w:rPr>
              <w:br/>
            </w:r>
            <w:r>
              <w:rPr>
                <w:b/>
              </w:rPr>
              <w:t>Control the aquatic production environment for farmed fish/shellfish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7b9dd1e34e47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af35e1456547ea" /><Relationship Type="http://schemas.openxmlformats.org/officeDocument/2006/relationships/numbering" Target="/word/numbering.xml" Id="R05875e2f70524187" /><Relationship Type="http://schemas.openxmlformats.org/officeDocument/2006/relationships/settings" Target="/word/settings.xml" Id="R72b185af93194f32" /><Relationship Type="http://schemas.openxmlformats.org/officeDocument/2006/relationships/image" Target="/word/media/00649040-5667-4a0f-a78f-a4c6a961f024.png" Id="R6e7b9dd1e34e47fa" /></Relationships>
</file>