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b2b74253d73447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CCSAPAG2</w:t>
            </w:r>
            <w:r>
              <w:rPr>
                <w:b/>
              </w:rPr>
              <w:br/>
            </w:r>
            <w:r>
              <w:rPr>
                <w:b/>
              </w:rPr>
              <w:t>Commission and evaluate work on interpretative and educational media for archaeology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d34ec7a1e24a9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a379df0f6974c07" /><Relationship Type="http://schemas.openxmlformats.org/officeDocument/2006/relationships/numbering" Target="/word/numbering.xml" Id="Rc6469826eb2f4231" /><Relationship Type="http://schemas.openxmlformats.org/officeDocument/2006/relationships/settings" Target="/word/settings.xml" Id="R720f88ec4dd34b6a" /><Relationship Type="http://schemas.openxmlformats.org/officeDocument/2006/relationships/image" Target="/word/media/3ae69058-292c-4c51-9c4e-1e4a5404184f.png" Id="R99d34ec7a1e24a97" /></Relationships>
</file>