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d95c047a304d8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ASTPAR1.2.3</w:t>
            </w:r>
            <w:r>
              <w:rPr>
                <w:b/>
              </w:rPr>
              <w:br/>
            </w:r>
            <w:r>
              <w:rPr>
                <w:b/>
              </w:rPr>
              <w:t>Identify and monitor competitors’ parking strategies and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0f10168222d49c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07decc01c314b2e" /><Relationship Type="http://schemas.openxmlformats.org/officeDocument/2006/relationships/numbering" Target="/word/numbering.xml" Id="Reaf3fce4a4d34be8" /><Relationship Type="http://schemas.openxmlformats.org/officeDocument/2006/relationships/settings" Target="/word/settings.xml" Id="Rc46ed69718df4437" /><Relationship Type="http://schemas.openxmlformats.org/officeDocument/2006/relationships/image" Target="/word/media/cfcd955d-ad32-4d35-819c-ab6262d37bcc.png" Id="Rd0f10168222d49c2" /></Relationships>
</file>