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0018aeb64a49e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ASTPAR1.3.3</w:t>
            </w:r>
            <w:r>
              <w:rPr>
                <w:b/>
              </w:rPr>
              <w:br/>
            </w:r>
            <w:r>
              <w:rPr>
                <w:b/>
              </w:rPr>
              <w:t>Use design to minimise the risk of crime within parking provision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e25866e4e0f47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b5a742ed1914a4d" /><Relationship Type="http://schemas.openxmlformats.org/officeDocument/2006/relationships/numbering" Target="/word/numbering.xml" Id="R8365b3959f934dfb" /><Relationship Type="http://schemas.openxmlformats.org/officeDocument/2006/relationships/settings" Target="/word/settings.xml" Id="Rbbd30ffdfcd74ddf" /><Relationship Type="http://schemas.openxmlformats.org/officeDocument/2006/relationships/image" Target="/word/media/173dfb51-fb48-484c-ba6a-7e782694fabb.png" Id="R2e25866e4e0f4769" /></Relationships>
</file>