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Default Extension="png" ContentType="image/png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51c3bfdda8b44b7b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c="http://schemas.openxmlformats.org/drawingml/2006/chart">
  <w:body>
    <w:tbl>
      <w:tblPr>
        <w:tblStyle w:val="TableGrid"/>
        <w:tblW w:w="5000" w:type="auto"/>
        <w:tblLook w:val="04A0"/>
        <w:tblBorders>
          <w:left w:val="none" w:sz="2" w:space="0" w:color="FFFFFF"/>
          <w:right w:val="none" w:sz="2" w:space="0" w:color="FFFFFF"/>
          <w:top w:val="none" w:sz="2" w:space="0" w:color="FFFFFF"/>
          <w:bottom w:val="none" w:sz="2" w:space="0" w:color="FFFFFF"/>
          <w:insideH w:val="none" w:sz="2" w:space="0" w:color="FFFFFF"/>
          <w:insideV w:val="none" w:sz="2" w:space="0" w:color="FFFFFF"/>
        </w:tblBorders>
      </w:tblPr>
      <w:tblGrid>
        <w:gridCol w:w="4510"/>
        <w:gridCol w:w="4510"/>
      </w:tblGrid>
      <w:tr>
        <w:tc>
          <w:tcPr>
            <w:tcW w:w="10000" w:type="dxa"/>
          </w:tcPr>
          <w:p>
            <w:pPr/>
            <w:r>
              <w:rPr>
                <w:b/>
              </w:rPr>
              <w:t>EUSSM003L</w:t>
            </w:r>
            <w:r>
              <w:rPr>
                <w:b/>
              </w:rPr>
              <w:br/>
            </w:r>
            <w:r>
              <w:rPr>
                <w:b/>
              </w:rPr>
              <w:t>Use and communicate technical information in the energy supply and use sector Legacy</w:t>
            </w:r>
            <w:r>
              <w:rPr>
                <w:b/>
              </w:rPr>
              <w:br/>
            </w:r>
          </w:p>
        </w:tc>
        <w:tc>
          <w:tcPr>
            <w:tcW w:w="4000" w:type="dxa"/>
          </w:tcPr>
          <w:p>
            <w:pPr>
              <w:jc w:val="right"/>
            </w:pPr>
            <w:r xmlns:w="http://schemas.openxmlformats.org/wordprocessingml/2006/main">
              <w:drawing>
                <wp:inline xmlns:wp="http://schemas.openxmlformats.org/drawingml/2006/wordprocessingDrawing" distT="0" distB="0" distL="0" distR="0">
                  <wp:extent cx="1358900" cy="736600"/>
                  <wp:effectExtent l="0" t="0" r="0" b="0"/>
                  <wp:docPr id="1" name="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xmlns:r="http://schemas.openxmlformats.org/officeDocument/2006/relationships" r:embed="R4871fab804e54100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58900" cy="7366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>
      <w:pPr/>
      <w:r>
        <w:rPr>
          <w:lang w:val="en-GB"/>
          <w:b/>
        </w:rPr>
        <w:t>Overview</w:t>
      </w:r>
      <w:r>
        <w:rPr>
          <w:lang w:val="en-GB"/>
          <w:b/>
        </w:rPr>
        <w:br/>
      </w:r>
    </w:p>
    <w:p>
      <w:pPr/>
      <w:r>
        <w:rPr>
          <w:lang w:val="en-GB"/>
        </w:rPr>
        <w:t>This standard covers using and communicating technical information in the energy supply and use sector.</w:t>
      </w:r>
    </w:p>
    <w:p>
      <w:pPr/>
      <w:r>
        <w:rPr>
          <w:lang w:val="en-GB"/>
        </w:rPr>
        <w:t>To meet this standard you will be able to:</w:t>
      </w:r>
    </w:p>
    <w:p>
      <w:pPr>
        <w:numPr>
          <w:ilvl w:val="0"/>
          <w:numId w:val="1"/>
        </w:numPr>
      </w:pPr>
      <w:r>
        <w:t>identify the location of the work</w:t>
      </w:r>
    </w:p>
    <w:p>
      <w:pPr>
        <w:numPr>
          <w:ilvl w:val="0"/>
          <w:numId w:val="1"/>
        </w:numPr>
      </w:pPr>
      <w:r>
        <w:t>communicate the technical requirements of the work and deal with queries</w:t>
      </w:r>
    </w:p>
    <w:p>
      <w:pPr>
        <w:numPr>
          <w:ilvl w:val="0"/>
          <w:numId w:val="1"/>
        </w:numPr>
      </w:pPr>
      <w:r>
        <w:t>work safely throughout the activity, taking personal responsibility for your own actions and for the quality and accuracy of the work carried out.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>This standard is suitable for a craftsperson or technician working in the energy supply and use sector. </w:t>
      </w:r>
    </w:p>
    <w:p>
      <w:pPr/>
      <w:r>
        <w:rPr>
          <w:lang w:val="en-GB"/>
        </w:rPr>
        <w:t>​</w:t>
      </w: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/>
      <w:r>
        <w:rPr>
          <w:lang w:val="en-GB"/>
          <w:b/>
        </w:rPr>
        <w:t>Performance criteria</w:t>
      </w:r>
      <w:r>
        <w:rPr>
          <w:lang w:val="en-GB"/>
          <w:b/>
        </w:rPr>
        <w:br/>
      </w:r>
    </w:p>
    <w:p>
      <w:pPr/>
      <w:r>
        <w:rPr>
          <w:lang w:val="en-GB"/>
        </w:rPr>
        <w:t>You must be able to:</w:t>
      </w:r>
      <w:r>
        <w:rPr>
          <w:lang w:val="en-GB"/>
        </w:rPr>
        <w:br/>
      </w:r>
    </w:p>
    <w:p>
      <w:pPr>
        <w:numPr>
          <w:ilvl w:val="0"/>
          <w:numId w:val="2"/>
        </w:numPr>
      </w:pPr>
      <w:r>
        <w:t>identify the location of the work using available information and organisational systems</w:t>
      </w:r>
    </w:p>
    <w:p>
      <w:pPr>
        <w:numPr>
          <w:ilvl w:val="0"/>
          <w:numId w:val="2"/>
        </w:numPr>
      </w:pPr>
      <w:r>
        <w:t>communicate the planned work activity to all affected parties in accordance with organisational policies and procedures</w:t>
      </w:r>
    </w:p>
    <w:p>
      <w:pPr>
        <w:numPr>
          <w:ilvl w:val="0"/>
          <w:numId w:val="2"/>
        </w:numPr>
      </w:pPr>
      <w:r>
        <w:t>carry out  a site specific risk assessment of the work, identifying hazards and the required control measures</w:t>
      </w:r>
    </w:p>
    <w:p>
      <w:pPr>
        <w:numPr>
          <w:ilvl w:val="0"/>
          <w:numId w:val="2"/>
        </w:numPr>
      </w:pPr>
      <w:r>
        <w:t>obtain and use appropriate technical information from the relevant information sources to carry out activities</w:t>
      </w:r>
    </w:p>
    <w:p>
      <w:pPr>
        <w:numPr>
          <w:ilvl w:val="0"/>
          <w:numId w:val="2"/>
        </w:numPr>
      </w:pPr>
      <w:r>
        <w:t>use and interpret technical information to carry out the work activity</w:t>
      </w:r>
    </w:p>
    <w:p>
      <w:pPr>
        <w:numPr>
          <w:ilvl w:val="0"/>
          <w:numId w:val="2"/>
        </w:numPr>
      </w:pPr>
      <w:r>
        <w:t>record technical information ​​in accordance with organisational procedures</w:t>
      </w:r>
    </w:p>
    <w:p>
      <w:pPr>
        <w:numPr>
          <w:ilvl w:val="0"/>
          <w:numId w:val="2"/>
        </w:numPr>
      </w:pPr>
      <w:r>
        <w:t>communicate technical information to the appropriate personnel throughout the activity</w:t>
      </w:r>
    </w:p>
    <w:p>
      <w:pPr>
        <w:numPr>
          <w:ilvl w:val="0"/>
          <w:numId w:val="2"/>
        </w:numPr>
      </w:pPr>
      <w:r>
        <w:t>communicate the technical requirements of the completed work to all affected parties answering any technical queries, where appropriate</w:t>
      </w:r>
    </w:p>
    <w:p>
      <w:pPr>
        <w:numPr>
          <w:ilvl w:val="0"/>
          <w:numId w:val="2"/>
        </w:numPr>
      </w:pPr>
      <w:r>
        <w:t>​work safely at all times, complying with health and safety, environmental and other relevant regulations, directives and guidelines</w:t>
      </w:r>
    </w:p>
    <w:p>
      <w:pPr>
        <w:numPr>
          <w:ilvl w:val="0"/>
          <w:numId w:val="2"/>
        </w:numPr>
      </w:pPr>
      <w:r>
        <w:t>deal with problems safely and efficiently, referring matters which cannot be rectified to the appropriate person, where required​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>​</w:t>
      </w: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/>
      <w:r>
        <w:rPr>
          <w:lang w:val="en-GB"/>
          <w:b/>
        </w:rPr>
        <w:t>Knowledge and understanding</w:t>
      </w:r>
      <w:r>
        <w:rPr>
          <w:lang w:val="en-GB"/>
          <w:b/>
        </w:rPr>
        <w:br/>
      </w:r>
    </w:p>
    <w:p>
      <w:pPr/>
      <w:r>
        <w:rPr>
          <w:lang w:val="en-GB"/>
        </w:rPr>
        <w:t>You need to know and understand:</w:t>
      </w:r>
      <w:r>
        <w:rPr>
          <w:lang w:val="en-GB"/>
        </w:rPr>
        <w:br/>
      </w:r>
    </w:p>
    <w:p>
      <w:pPr>
        <w:numPr>
          <w:ilvl w:val="0"/>
          <w:numId w:val="3"/>
        </w:numPr>
      </w:pPr>
      <w:r>
        <w:t>the principles of health and safety in the workplace, environmental legislation and relevant regulations in relation to the work to be carried out</w:t>
      </w:r>
    </w:p>
    <w:p>
      <w:pPr>
        <w:numPr>
          <w:ilvl w:val="0"/>
          <w:numId w:val="3"/>
        </w:numPr>
      </w:pPr>
      <w:r>
        <w:t>the organisational safety rules, policies and procedures in relation to the work to be carried out​</w:t>
      </w:r>
    </w:p>
    <w:p>
      <w:pPr>
        <w:numPr>
          <w:ilvl w:val="0"/>
          <w:numId w:val="3"/>
        </w:numPr>
      </w:pPr>
      <w:r>
        <w:t>the industry set compliance legislation relating to customer interaction</w:t>
      </w:r>
    </w:p>
    <w:p>
      <w:pPr>
        <w:numPr>
          <w:ilvl w:val="0"/>
          <w:numId w:val="3"/>
        </w:numPr>
      </w:pPr>
      <w:r>
        <w:t>the organisation’s safety document procedures that apply to work on equipment and systems</w:t>
      </w:r>
    </w:p>
    <w:p>
      <w:pPr>
        <w:numPr>
          <w:ilvl w:val="0"/>
          <w:numId w:val="3"/>
        </w:numPr>
      </w:pPr>
      <w:r>
        <w:t>how to present and introduce yourself to customers</w:t>
      </w:r>
    </w:p>
    <w:p>
      <w:pPr>
        <w:numPr>
          <w:ilvl w:val="0"/>
          <w:numId w:val="3"/>
        </w:numPr>
      </w:pPr>
      <w:r>
        <w:t>how to update, report and record information in accordance with organisational procedures</w:t>
      </w:r>
    </w:p>
    <w:p>
      <w:pPr>
        <w:numPr>
          <w:ilvl w:val="0"/>
          <w:numId w:val="3"/>
        </w:numPr>
      </w:pPr>
      <w:r>
        <w:t>​​the relevant </w:t>
      </w:r>
    </w:p>
    <w:p>
      <w:pPr>
        <w:numPr>
          <w:ilvl w:val="0"/>
          <w:numId w:val="3"/>
        </w:numPr>
      </w:pPr>
      <w:r>
        <w:t>technical information sources</w:t>
      </w:r>
    </w:p>
    <w:p>
      <w:pPr>
        <w:numPr>
          <w:ilvl w:val="0"/>
          <w:numId w:val="3"/>
        </w:numPr>
      </w:pPr>
      <w:r>
        <w:t> appropriate for the activity</w:t>
      </w:r>
    </w:p>
    <w:p>
      <w:pPr>
        <w:numPr>
          <w:ilvl w:val="0"/>
          <w:numId w:val="3"/>
        </w:numPr>
      </w:pPr>
      <w:r>
        <w:t>the relevant </w:t>
      </w:r>
    </w:p>
    <w:p>
      <w:pPr>
        <w:numPr>
          <w:ilvl w:val="0"/>
          <w:numId w:val="3"/>
        </w:numPr>
      </w:pPr>
      <w:r>
        <w:t>diagrammatic and pictorial information</w:t>
      </w:r>
    </w:p>
    <w:p>
      <w:pPr>
        <w:numPr>
          <w:ilvl w:val="0"/>
          <w:numId w:val="3"/>
        </w:numPr>
      </w:pPr>
      <w:r>
        <w:t> sources appropriate for the activity</w:t>
      </w:r>
    </w:p>
    <w:p>
      <w:pPr>
        <w:numPr>
          <w:ilvl w:val="0"/>
          <w:numId w:val="3"/>
        </w:numPr>
      </w:pPr>
      <w:r>
        <w:t>how to use and interpret </w:t>
      </w:r>
    </w:p>
    <w:p>
      <w:pPr>
        <w:numPr>
          <w:ilvl w:val="0"/>
          <w:numId w:val="3"/>
        </w:numPr>
      </w:pPr>
      <w:r>
        <w:t>technical information</w:t>
      </w:r>
    </w:p>
    <w:p>
      <w:pPr>
        <w:numPr>
          <w:ilvl w:val="0"/>
          <w:numId w:val="3"/>
        </w:numPr>
      </w:pPr>
      <w:r>
        <w:t> to carry out the work activity</w:t>
      </w:r>
    </w:p>
    <w:p>
      <w:pPr>
        <w:numPr>
          <w:ilvl w:val="0"/>
          <w:numId w:val="3"/>
        </w:numPr>
      </w:pPr>
      <w:r>
        <w:t>the materials, formats, codes and conventions that are used in presenting technical information</w:t>
      </w:r>
    </w:p>
    <w:p>
      <w:pPr>
        <w:numPr>
          <w:ilvl w:val="0"/>
          <w:numId w:val="3"/>
        </w:numPr>
      </w:pPr>
      <w:r>
        <w:t>the control procedures for ensuring that the technical information is maintained up-to-date</w:t>
      </w:r>
    </w:p>
    <w:p>
      <w:pPr>
        <w:numPr>
          <w:ilvl w:val="0"/>
          <w:numId w:val="3"/>
        </w:numPr>
      </w:pPr>
      <w:r>
        <w:t>the procedures for reporting discrepancies in data or documents, and reporting lost or damaged drawings and documents ​​</w:t>
      </w:r>
    </w:p>
    <w:p>
      <w:pPr>
        <w:numPr>
          <w:ilvl w:val="0"/>
          <w:numId w:val="3"/>
        </w:numPr>
      </w:pPr>
      <w:r>
        <w:t>the importance of communicating the right information at the right time</w:t>
      </w:r>
    </w:p>
    <w:p>
      <w:pPr>
        <w:numPr>
          <w:ilvl w:val="0"/>
          <w:numId w:val="3"/>
        </w:numPr>
      </w:pPr>
      <w:r>
        <w:t>the importance of communicating the technical requirements of the work to all affected parties throughout the activity</w:t>
      </w:r>
    </w:p>
    <w:p>
      <w:pPr>
        <w:numPr>
          <w:ilvl w:val="0"/>
          <w:numId w:val="3"/>
        </w:numPr>
      </w:pPr>
      <w:r>
        <w:t>to whom you should report in the event of problems that you cannot resolve ​</w:t>
      </w:r>
    </w:p>
    <w:p>
      <w:pPr>
        <w:numPr>
          <w:ilvl w:val="0"/>
          <w:numId w:val="3"/>
        </w:numPr>
      </w:pPr>
      <w:r>
        <w:t>how to leave the work area secure and the importance of doing so​</w:t>
      </w:r>
    </w:p>
    <w:p>
      <w:pPr/>
      <w:r>
        <w:rPr>
          <w:lang w:val="en-GB"/>
        </w:rPr>
        <w:br/>
      </w: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/>
      <w:r>
        <w:rPr>
          <w:lang w:val="en-GB"/>
          <w:b/>
        </w:rPr>
        <w:t>Scope/range</w:t>
      </w:r>
      <w:r>
        <w:rPr>
          <w:lang w:val="en-GB"/>
          <w:b/>
        </w:rPr>
        <w:br/>
      </w:r>
    </w:p>
    <w:p>
      <w:pPr/>
      <w:r>
        <w:rPr>
          <w:lang w:val="en-GB"/>
        </w:rPr>
        <w:t>The range relating to the knowledge and understanding</w:t>
      </w:r>
    </w:p>
    <w:p>
      <w:pPr/>
      <w:r>
        <w:rPr>
          <w:lang w:val="en-GB"/>
        </w:rPr>
        <w:t>**</w:t>
      </w:r>
    </w:p>
    <w:p>
      <w:pPr/>
      <w:r>
        <w:rPr>
          <w:lang w:val="en-GB"/>
        </w:rPr>
        <w:t>technical information sources** appropriate for the activity covering ALL the following:</w:t>
      </w:r>
    </w:p>
    <w:p>
      <w:pPr>
        <w:numPr>
          <w:ilvl w:val="0"/>
          <w:numId w:val="4"/>
        </w:numPr>
      </w:pPr>
      <w:r>
        <w:t>job instructions</w:t>
      </w:r>
    </w:p>
    <w:p>
      <w:pPr>
        <w:numPr>
          <w:ilvl w:val="0"/>
          <w:numId w:val="4"/>
        </w:numPr>
      </w:pPr>
      <w:r>
        <w:t>testing schedules e.g. Portable Appliance Testing (PAT)</w:t>
      </w:r>
    </w:p>
    <w:p>
      <w:pPr>
        <w:numPr>
          <w:ilvl w:val="0"/>
          <w:numId w:val="4"/>
        </w:numPr>
      </w:pPr>
      <w:r>
        <w:t>organisational information procedures</w:t>
      </w:r>
    </w:p>
    <w:p>
      <w:pPr>
        <w:numPr>
          <w:ilvl w:val="0"/>
          <w:numId w:val="4"/>
        </w:numPr>
      </w:pPr>
      <w:r>
        <w:t>material specification, procedures and standards</w:t>
      </w:r>
    </w:p>
    <w:p>
      <w:pPr>
        <w:numPr>
          <w:ilvl w:val="0"/>
          <w:numId w:val="4"/>
        </w:numPr>
      </w:pPr>
      <w:r>
        <w:t>risk assessment</w:t>
      </w:r>
    </w:p>
    <w:p>
      <w:pPr>
        <w:numPr>
          <w:ilvl w:val="0"/>
          <w:numId w:val="4"/>
        </w:numPr>
      </w:pPr>
      <w:r>
        <w:t>method statements, when required</w:t>
      </w:r>
    </w:p>
    <w:p>
      <w:pPr>
        <w:numPr>
          <w:ilvl w:val="0"/>
          <w:numId w:val="4"/>
        </w:numPr>
      </w:pPr>
      <w:r>
        <w:t> </w:t>
      </w:r>
    </w:p>
    <w:p>
      <w:pPr>
        <w:numPr>
          <w:ilvl w:val="0"/>
          <w:numId w:val="4"/>
        </w:numPr>
      </w:pPr>
      <w:r>
        <w:t>
</w:t>
      </w:r>
    </w:p>
    <w:p>
      <w:pPr>
        <w:numPr>
          <w:ilvl w:val="0"/>
          <w:numId w:val="4"/>
        </w:numPr>
      </w:pPr>
      <w:r>
        <w:t> </w:t>
      </w:r>
    </w:p>
    <w:p>
      <w:pPr>
        <w:numPr>
          <w:ilvl w:val="0"/>
          <w:numId w:val="4"/>
        </w:numPr>
      </w:pPr>
      <w:r>
        <w:t>diagrammatic and pictorial information</w:t>
      </w:r>
    </w:p>
    <w:p>
      <w:pPr>
        <w:numPr>
          <w:ilvl w:val="0"/>
          <w:numId w:val="4"/>
        </w:numPr>
      </w:pPr>
      <w:r>
        <w:t> sources:</w:t>
      </w:r>
    </w:p>
    <w:p>
      <w:pPr>
        <w:numPr>
          <w:ilvl w:val="0"/>
          <w:numId w:val="4"/>
        </w:numPr>
      </w:pPr>
      <w:r>
        <w:t>general assembly drawings</w:t>
      </w:r>
    </w:p>
    <w:p>
      <w:pPr>
        <w:numPr>
          <w:ilvl w:val="0"/>
          <w:numId w:val="4"/>
        </w:numPr>
      </w:pPr>
      <w:r>
        <w:t>wiring or circuit diagrams</w:t>
      </w:r>
    </w:p>
    <w:p>
      <w:pPr>
        <w:numPr>
          <w:ilvl w:val="0"/>
          <w:numId w:val="4"/>
        </w:numPr>
      </w:pPr>
      <w:r>
        <w:t>installation drawings</w:t>
      </w:r>
    </w:p>
    <w:p>
      <w:pPr>
        <w:numPr>
          <w:ilvl w:val="0"/>
          <w:numId w:val="4"/>
        </w:numPr>
      </w:pPr>
      <w:r>
        <w:t>fabrication drawings</w:t>
      </w:r>
    </w:p>
    <w:p>
      <w:pPr>
        <w:numPr>
          <w:ilvl w:val="0"/>
          <w:numId w:val="4"/>
        </w:numPr>
      </w:pPr>
      <w:r>
        <w:t>manufacturers manuals and drawings, where supplied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>technical information</w:t>
      </w:r>
    </w:p>
    <w:p>
      <w:pPr/>
      <w:r>
        <w:rPr>
          <w:lang w:val="en-GB"/>
        </w:rPr>
        <w:t xml:space="preserve"> to carry out the work activity, covering ALL the following:</w:t>
      </w:r>
    </w:p>
    <w:p>
      <w:pPr>
        <w:numPr>
          <w:ilvl w:val="0"/>
          <w:numId w:val="5"/>
        </w:numPr>
      </w:pPr>
      <w:r>
        <w:t>de-commissioning procedure</w:t>
      </w:r>
    </w:p>
    <w:p>
      <w:pPr>
        <w:numPr>
          <w:ilvl w:val="0"/>
          <w:numId w:val="5"/>
        </w:numPr>
      </w:pPr>
      <w:r>
        <w:t>installation procedure</w:t>
      </w:r>
    </w:p>
    <w:p>
      <w:pPr>
        <w:numPr>
          <w:ilvl w:val="0"/>
          <w:numId w:val="5"/>
        </w:numPr>
      </w:pPr>
      <w:r>
        <w:t>commissioning procedure</w:t>
      </w:r>
    </w:p>
    <w:p>
      <w:pPr>
        <w:numPr>
          <w:ilvl w:val="0"/>
          <w:numId w:val="5"/>
        </w:numPr>
      </w:pPr>
      <w:r>
        <w:t>test results procedure</w:t>
      </w:r>
    </w:p>
    <w:p>
      <w:pPr>
        <w:numPr>
          <w:ilvl w:val="0"/>
          <w:numId w:val="5"/>
        </w:numPr>
      </w:pPr>
      <w:r>
        <w:t>h​​and over procedure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>​</w:t>
      </w:r>
    </w:p>
    <w:p>
      <w:pPr/>
      <w:r>
        <w:rPr>
          <w:lang w:val="en-GB"/>
        </w:rPr>
        <w:t>​</w:t>
      </w: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/>
      <w:r>
        <w:rPr>
          <w:lang w:val="en-GB"/>
          <w:b/>
        </w:rPr>
        <w:t>Scope/range related to knowledge and understanding</w:t>
      </w:r>
      <w:r>
        <w:rPr>
          <w:lang w:val="en-GB"/>
          <w:b/>
        </w:rPr>
        <w:br/>
      </w:r>
    </w:p>
    <w:p>
      <w:pPr/>
      <w:r>
        <w:rPr>
          <w:lang w:val="en-GB"/>
        </w:rPr>
        <w:t>​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 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​</w:t>
      </w: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/>
      <w:r>
        <w:rPr>
          <w:lang w:val="en-GB"/>
          <w:b/>
        </w:rPr>
        <w:t>Developed by</w:t>
      </w:r>
    </w:p>
    <w:p>
      <w:pPr/>
      <w:r>
        <w:rPr>
          <w:lang w:val="en-GB"/>
        </w:rPr>
        <w:t>Energy &amp; Utility Skills</w:t>
      </w:r>
      <w:r>
        <w:rPr>
          <w:lang w:val="en-GB"/>
        </w:rPr>
        <w:br/>
      </w:r>
    </w:p>
    <w:p>
      <w:pPr/>
      <w:r>
        <w:rPr>
          <w:lang w:val="en-GB"/>
          <w:b/>
        </w:rPr>
        <w:t>Version Number</w:t>
      </w:r>
    </w:p>
    <w:p>
      <w:pPr/>
      <w:r>
        <w:rPr>
          <w:lang w:val="en-GB"/>
        </w:rPr>
        <w:t>1</w:t>
      </w:r>
      <w:r>
        <w:rPr>
          <w:lang w:val="en-GB"/>
        </w:rPr>
        <w:br/>
      </w:r>
    </w:p>
    <w:p>
      <w:pPr/>
      <w:r>
        <w:rPr>
          <w:lang w:val="en-GB"/>
          <w:b/>
        </w:rPr>
        <w:t>Date Approved</w:t>
      </w:r>
    </w:p>
    <w:p>
      <w:pPr/>
      <w:r>
        <w:rPr>
          <w:lang w:val="en-GB"/>
        </w:rPr>
        <w:t>10 Feb 2017</w:t>
      </w:r>
      <w:r>
        <w:rPr>
          <w:lang w:val="en-GB"/>
        </w:rPr>
        <w:br/>
      </w:r>
    </w:p>
    <w:p>
      <w:pPr/>
      <w:r>
        <w:rPr>
          <w:lang w:val="en-GB"/>
          <w:b/>
        </w:rPr>
        <w:t>Indicative Review Date</w:t>
      </w:r>
    </w:p>
    <w:p>
      <w:pPr/>
      <w:r>
        <w:rPr>
          <w:lang w:val="en-GB"/>
        </w:rPr>
        <w:t>30 Mar 2021</w:t>
      </w:r>
      <w:r>
        <w:rPr>
          <w:lang w:val="en-GB"/>
        </w:rPr>
        <w:br/>
      </w:r>
    </w:p>
    <w:p>
      <w:pPr/>
      <w:r>
        <w:rPr>
          <w:lang w:val="en-GB"/>
          <w:b/>
        </w:rPr>
        <w:t>Validity</w:t>
      </w:r>
    </w:p>
    <w:p>
      <w:pPr/>
      <w:r>
        <w:rPr>
          <w:lang w:val="en-GB"/>
        </w:rPr>
        <w:t>Legacy</w:t>
      </w:r>
      <w:r>
        <w:rPr>
          <w:lang w:val="en-GB"/>
        </w:rPr>
        <w:br/>
      </w:r>
    </w:p>
    <w:p>
      <w:pPr/>
      <w:r>
        <w:rPr>
          <w:lang w:val="en-GB"/>
          <w:b/>
        </w:rPr>
        <w:t>Status</w:t>
      </w:r>
    </w:p>
    <w:p>
      <w:pPr/>
      <w:r>
        <w:rPr>
          <w:lang w:val="en-GB"/>
        </w:rPr>
        <w:t>Original</w:t>
      </w:r>
      <w:r>
        <w:rPr>
          <w:lang w:val="en-GB"/>
        </w:rPr>
        <w:br/>
      </w:r>
    </w:p>
    <w:p>
      <w:pPr/>
      <w:r>
        <w:rPr>
          <w:lang w:val="en-GB"/>
          <w:b/>
        </w:rPr>
        <w:t>Originating Organisation</w:t>
      </w:r>
    </w:p>
    <w:p>
      <w:pPr/>
      <w:r>
        <w:rPr>
          <w:lang w:val="en-GB"/>
        </w:rPr>
        <w:t>Energy and Utility Skills</w:t>
      </w:r>
      <w:r>
        <w:rPr>
          <w:lang w:val="en-GB"/>
        </w:rPr>
        <w:br/>
      </w:r>
    </w:p>
    <w:p>
      <w:pPr/>
      <w:r>
        <w:rPr>
          <w:lang w:val="en-GB"/>
          <w:b/>
        </w:rPr>
        <w:t>Original URN</w:t>
      </w:r>
    </w:p>
    <w:p>
      <w:pPr/>
      <w:r>
        <w:rPr>
          <w:lang w:val="en-GB"/>
        </w:rPr>
        <w:t>new</w:t>
      </w:r>
      <w:r>
        <w:rPr>
          <w:lang w:val="en-GB"/>
        </w:rPr>
        <w:br/>
      </w:r>
    </w:p>
    <w:p>
      <w:pPr/>
      <w:r>
        <w:rPr>
          <w:lang w:val="en-GB"/>
          <w:b/>
        </w:rPr>
        <w:t>Relevant Occupations</w:t>
      </w:r>
    </w:p>
    <w:p>
      <w:pPr/>
      <w:r>
        <w:rPr>
          <w:lang w:val="en-GB"/>
        </w:rPr>
        <w:t>Engineering Installation Engineer, Engineering Technicians, Gas Team Leaders, Craftspersons and Technicians, Gas Engineer</w:t>
      </w:r>
      <w:r>
        <w:rPr>
          <w:lang w:val="en-GB"/>
        </w:rPr>
        <w:br/>
      </w:r>
    </w:p>
    <w:p>
      <w:pPr/>
      <w:r>
        <w:rPr>
          <w:lang w:val="en-GB"/>
          <w:b/>
        </w:rPr>
        <w:t>Suite</w:t>
      </w:r>
    </w:p>
    <w:p>
      <w:pPr/>
      <w:r>
        <w:rPr>
          <w:lang w:val="en-GB"/>
        </w:rPr>
        <w:t>Downstream Operations, Electricity Smart Metering, Gas Network Operations Intermediate Pressure, Smart Metering</w:t>
      </w:r>
      <w:r>
        <w:rPr>
          <w:lang w:val="en-GB"/>
        </w:rPr>
        <w:br/>
      </w:r>
    </w:p>
    <w:p>
      <w:pPr/>
      <w:r>
        <w:rPr>
          <w:lang w:val="en-GB"/>
          <w:b/>
        </w:rPr>
        <w:t>Keywords</w:t>
      </w:r>
    </w:p>
    <w:p>
      <w:pPr/>
      <w:r>
        <w:rPr>
          <w:lang w:val="en-GB"/>
        </w:rPr>
        <w:t>smart, technical, communicate, metering</w:t>
      </w:r>
      <w:r>
        <w:rPr>
          <w:lang w:val="en-GB"/>
        </w:rPr>
        <w:br/>
      </w:r>
    </w:p>
    <w:sectPr w:rsidR="003E25F4" w:rsidSect="00FC3028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20BF853"/>
    <w:multiLevelType w:val="hybridMultilevel"/>
    <w:tmpl w:val="E7CC04EC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</w:abstractNum>
  <w:abstractNum w:abstractNumId="1">
    <w:nsid w:val="570C4B7C"/>
    <w:multiLevelType w:val="hybridMultilevel"/>
    <w:tmpl w:val="E7CC04EC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</w:abstractNum>
  <w:abstractNum w:abstractNumId="2">
    <w:nsid w:val="604BF9D1"/>
    <w:multiLevelType w:val="hybridMultilevel"/>
    <w:tmpl w:val="E7CC04EC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</w:abstractNum>
  <w:abstractNum w:abstractNumId="3">
    <w:nsid w:val="B9D59599"/>
    <w:multiLevelType w:val="hybridMultilevel"/>
    <w:tmpl w:val="E7CC04EC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</w:abstractNum>
  <w:abstractNum w:abstractNumId="4">
    <w:nsid w:val="3A48BDE7"/>
    <w:multiLevelType w:val="hybridMultilevel"/>
    <w:tmpl w:val="E7CC04EC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</w:abstractNum>
  <w:num w:numId="1">
    <w:abstractNumId w:val="0"/>
    <w:lvlOverride w:ilvl="0">
      <w:startOverride w:val="1"/>
    </w:lvlOverride>
  </w:num>
  <w:num w:numId="2">
    <w:abstractNumId w:val="1"/>
    <w:lvlOverride w:ilvl="0">
      <w:startOverride w:val="1"/>
    </w:lvlOverride>
  </w:num>
  <w:num w:numId="3">
    <w:abstractNumId w:val="2"/>
    <w:lvlOverride w:ilvl="0">
      <w:startOverride w:val="1"/>
    </w:lvlOverride>
  </w:num>
  <w:num w:numId="4">
    <w:abstractNumId w:val="3"/>
    <w:lvlOverride w:ilvl="0">
      <w:startOverride w:val="1"/>
    </w:lvlOverride>
  </w:num>
  <w:num w:numId="5">
    <w:abstractNumId w:val="4"/>
    <w:lvlOverride w:ilvl="0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20"/>
  <w:characterSpacingControl w:val="doNotCompress"/>
  <w:compat/>
  <w:rsids>
    <w:rsidRoot w:val="00217F62"/>
    <w:rsid w:val="001915A3"/>
    <w:rsid w:val="00217F62"/>
    <w:rsid w:val="00A906D8"/>
    <w:rsid w:val="00AB5A74"/>
    <w:rsid w:val="00F071A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displayBackgroundShape w:val="true"/>
  <w:themeFontLang w:val="en-GB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styleId="Heading1">
    <w:name w:val="heading 1"/>
    <w:basedOn w:val="Normal"/>
    <w:next w:val="Normal"/>
    <w:link w:val="Heading1Char"/>
    <w:uiPriority w:val="9"/>
    <w:qFormat/>
    <w:rsid w:val="00263428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263428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263428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263428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unhideWhenUsed/>
    <w:qFormat/>
    <w:rsid w:val="00263428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unhideWhenUsed/>
    <w:qFormat/>
    <w:rsid w:val="00263428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unhideWhenUsed/>
    <w:qFormat/>
    <w:rsid w:val="00263428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unhideWhenUsed/>
    <w:qFormat/>
    <w:rsid w:val="00263428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unhideWhenUsed/>
    <w:qFormat/>
    <w:rsid w:val="00263428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unhideWhenUsed/>
    <w:qFormat/>
    <w:rsid w:val="00D23DB3"/>
    <w:pPr>
      <w:spacing w:after="200" w:line="240" w:lineRule="auto"/>
    </w:pPr>
    <w:rPr>
      <w:i/>
      <w:iCs/>
      <w:color w:val="44546A" w:themeColor="text2"/>
      <w:sz w:val="18"/>
      <w:szCs w:val="18"/>
    </w:rPr>
  </w:style>
  <w:style w:type="character" w:customStyle="1" w:styleId="Heading2Char">
    <w:name w:val="Heading 2 Char"/>
    <w:basedOn w:val="DefaultParagraphFont"/>
    <w:link w:val="Heading2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</w:rPr>
  </w:style>
  <w:style w:type="character" w:customStyle="1" w:styleId="Heading4Char">
    <w:name w:val="Heading 4 Char"/>
    <w:basedOn w:val="DefaultParagraphFont"/>
    <w:link w:val="Heading4"/>
    <w:uiPriority w:val="9"/>
    <w:rsid w:val="00263428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rsid w:val="00263428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rsid w:val="00263428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rsid w:val="00263428"/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default="1" w:styleId="Normal">
    <w:name w:val="Normal"/>
    <w:qFormat/>
    <w:rsid w:val="00B3465E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styleId="FootnoteText" w:type="paragraph">
    <w:name w:val="footnote text"/>
    <w:basedOn w:val="Normal"/>
    <w:link w:val="FootnoteTextChar"/>
    <w:uiPriority w:val="99"/>
    <w:semiHidden/>
    <w:unhideWhenUsed/>
    <w:rsid w:val="00E541C0"/>
    <w:pPr>
      <w:spacing w:after="0" w:lineRule="auto" w:line="240"/>
    </w:pPr>
    <w:rPr>
      <w:sz w:val="20"/>
      <w:szCs w:val="20"/>
    </w:rPr>
  </w:style>
  <w:style w:styleId="FootnoteTextChar" w:type="character" w:customStyle="1">
    <w:name w:val="Footnote Text Char"/>
    <w:basedOn w:val="DefaultParagraphFont"/>
    <w:link w:val="FootnoteText"/>
    <w:uiPriority w:val="99"/>
    <w:semiHidden/>
    <w:rsid w:val="00E541C0"/>
    <w:rPr>
      <w:sz w:val="20"/>
      <w:szCs w:val="20"/>
    </w:rPr>
  </w:style>
  <w:style w:styleId="FootnoteReference" w:type="character">
    <w:name w:val="footnote reference"/>
    <w:basedOn w:val="DefaultParagraphFont"/>
    <w:uiPriority w:val="99"/>
    <w:semiHidden/>
    <w:unhideWhenUsed/>
    <w:rsid w:val="00E541C0"/>
    <w:rPr>
      <w:vertAlign w:val="superscript"/>
    </w:rPr>
  </w:style>
  <w:style w:type="paragraph" w:styleId="EndnoteText">
    <w:name w:val="endnote text"/>
    <w:basedOn w:val="Normal"/>
    <w:link w:val="EndnoteTextChar"/>
    <w:uiPriority w:val="99"/>
    <w:semiHidden/>
    <w:unhideWhenUsed/>
    <w:rsid w:val="0054139F"/>
    <w:pPr>
      <w:spacing w:after="0" w:line="240" w:lineRule="auto"/>
    </w:pPr>
    <w:rPr>
      <w:sz w:val="20"/>
      <w:szCs w:val="20"/>
    </w:rPr>
  </w:style>
  <w:style w:type="character" w:customStyle="1" w:styleId="EndnoteTextChar">
    <w:name w:val="Endnote Text Char"/>
    <w:basedOn w:val="DefaultParagraphFont"/>
    <w:link w:val="EndnoteText"/>
    <w:uiPriority w:val="99"/>
    <w:semiHidden/>
    <w:rsid w:val="0054139F"/>
    <w:rPr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unhideWhenUsed/>
    <w:rsid w:val="0054139F"/>
    <w:rPr>
      <w:vertAlign w:val="superscript"/>
    </w:rPr>
  </w:style>
  <w:style w:type="table" w:styleId="TableGrid">
    <w:name w:val="Table Grid"/>
    <w:basedOn w:val="TableNormal"/>
    <w:uiPriority w:val="59"/>
    <w:rsid w:val="008D0119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&#65279;<?xml version="1.0" encoding="utf-8"?><Relationships xmlns="http://schemas.openxmlformats.org/package/2006/relationships"><Relationship Type="http://schemas.openxmlformats.org/officeDocument/2006/relationships/styles" Target="/word/styles.xml" Id="R5b2879f247714504" /><Relationship Type="http://schemas.openxmlformats.org/officeDocument/2006/relationships/numbering" Target="/word/numbering.xml" Id="R2eec7777b68c4c23" /><Relationship Type="http://schemas.openxmlformats.org/officeDocument/2006/relationships/settings" Target="/word/settings.xml" Id="R98fc8840a68a4d0e" /><Relationship Type="http://schemas.openxmlformats.org/officeDocument/2006/relationships/image" Target="/word/media/6209d4a6-c414-492e-8581-577c60f96c17.png" Id="R4871fab804e54100" /></Relationships>
</file>