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eff7986c9246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SFJIB20</w:t>
            </w:r>
            <w:r>
              <w:rPr>
                <w:b/>
              </w:rPr>
              <w:br/>
            </w:r>
            <w:r>
              <w:rPr>
                <w:b/>
              </w:rPr>
              <w:t>Provide specialist welfare rights legal advice and progress cases with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9062a8593d4f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specialist legal advice about a broad range of welfare rights issues. This includes your ability to advise clients on more complex areas of welfare rights law. You will also know how and be able to prepare and present cases in formal or informal hearings. In this standard the term 'welfare benefits' includes social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services that you can offer in line with their</w:t>
      </w:r>
    </w:p>
    <w:p>
      <w:pPr>
        <w:numPr>
          <w:ilvl w:val="0"/>
          <w:numId w:val="1"/>
        </w:numPr>
      </w:pPr>
      <w:r>
        <w:t>requirements</w:t>
      </w:r>
    </w:p>
    <w:p>
      <w:pPr>
        <w:numPr>
          <w:ilvl w:val="1"/>
          <w:numId w:val="1"/>
        </w:numPr>
      </w:pPr>
      <w:r>
        <w:t>check that clients understanding of legal advice services is</w:t>
      </w:r>
    </w:p>
    <w:p>
      <w:pPr>
        <w:numPr>
          <w:ilvl w:val="0"/>
          <w:numId w:val="1"/>
        </w:numPr>
      </w:pPr>
      <w:r>
        <w:t>consistent with information you have provided</w:t>
      </w:r>
    </w:p>
    <w:p>
      <w:pPr>
        <w:numPr>
          <w:ilvl w:val="1"/>
          <w:numId w:val="1"/>
        </w:numPr>
      </w:pPr>
      <w:r>
        <w:t>agree further actions and any immediate action with clients in line</w:t>
      </w:r>
    </w:p>
    <w:p>
      <w:pPr>
        <w:numPr>
          <w:ilvl w:val="0"/>
          <w:numId w:val="1"/>
        </w:numPr>
      </w:pPr>
      <w:r>
        <w:t>with requirements, including:</w:t>
      </w:r>
    </w:p>
    <w:p>
      <w:pPr>
        <w:numPr>
          <w:ilvl w:val="0"/>
          <w:numId w:val="1"/>
        </w:numPr>
      </w:pPr>
      <w:r>
        <w:t>4.1 procedures</w:t>
      </w:r>
    </w:p>
    <w:p>
      <w:pPr>
        <w:numPr>
          <w:ilvl w:val="0"/>
          <w:numId w:val="1"/>
        </w:numPr>
      </w:pPr>
      <w:r>
        <w:t>4.2 responsibilities</w:t>
      </w:r>
    </w:p>
    <w:p>
      <w:pPr>
        <w:numPr>
          <w:ilvl w:val="0"/>
          <w:numId w:val="1"/>
        </w:numPr>
      </w:pPr>
      <w:r>
        <w:t>4.3 time limits</w:t>
      </w:r>
    </w:p>
    <w:p>
      <w:pPr>
        <w:numPr>
          <w:ilvl w:val="1"/>
          <w:numId w:val="1"/>
        </w:numPr>
      </w:pPr>
      <w:r>
        <w:t>analyse available client information to assign relevance to their case</w:t>
      </w:r>
    </w:p>
    <w:p>
      <w:pPr>
        <w:numPr>
          <w:ilvl w:val="0"/>
          <w:numId w:val="1"/>
        </w:numPr>
      </w:pPr>
      <w:r>
        <w:t>in line with your professional judgement</w:t>
      </w:r>
    </w:p>
    <w:p>
      <w:pPr>
        <w:numPr>
          <w:ilvl w:val="1"/>
          <w:numId w:val="1"/>
        </w:numPr>
      </w:pPr>
      <w:r>
        <w:t>review and check sources of information to assess applicability to</w:t>
      </w:r>
    </w:p>
    <w:p>
      <w:pPr>
        <w:numPr>
          <w:ilvl w:val="0"/>
          <w:numId w:val="1"/>
        </w:numPr>
      </w:pPr>
      <w:r>
        <w:t>clients situations</w:t>
      </w:r>
    </w:p>
    <w:p>
      <w:pPr>
        <w:numPr>
          <w:ilvl w:val="1"/>
          <w:numId w:val="1"/>
        </w:numPr>
      </w:pPr>
      <w:r>
        <w:t>analyse information received from clients and the research process</w:t>
      </w:r>
    </w:p>
    <w:p>
      <w:pPr>
        <w:numPr>
          <w:ilvl w:val="0"/>
          <w:numId w:val="1"/>
        </w:numPr>
      </w:pPr>
      <w:r>
        <w:t>to formulate options in line with clients needs</w:t>
      </w:r>
    </w:p>
    <w:p>
      <w:pPr>
        <w:numPr>
          <w:ilvl w:val="1"/>
          <w:numId w:val="1"/>
        </w:numPr>
      </w:pPr>
      <w:r>
        <w:t>present clients with information and possible options for action in line</w:t>
      </w:r>
    </w:p>
    <w:p>
      <w:pPr>
        <w:numPr>
          <w:ilvl w:val="0"/>
          <w:numId w:val="1"/>
        </w:numPr>
      </w:pPr>
      <w:r>
        <w:t>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open client case files in line with organisational procedures</w:t>
      </w:r>
    </w:p>
    <w:p>
      <w:pPr>
        <w:numPr>
          <w:ilvl w:val="1"/>
          <w:numId w:val="1"/>
        </w:numPr>
      </w:pPr>
      <w:r>
        <w:t>design an action plan with clients in line with organisational</w:t>
      </w:r>
    </w:p>
    <w:p>
      <w:pPr>
        <w:numPr>
          <w:ilvl w:val="0"/>
          <w:numId w:val="1"/>
        </w:numPr>
      </w:pPr>
      <w:r>
        <w:t>processes, and agree roles and responsibilities for progressing actions</w:t>
      </w:r>
    </w:p>
    <w:p>
      <w:pPr>
        <w:numPr>
          <w:ilvl w:val="1"/>
          <w:numId w:val="1"/>
        </w:numPr>
      </w:pPr>
      <w:r>
        <w:t>progress actions on behalf of clients in line with agreed timescales</w:t>
      </w:r>
    </w:p>
    <w:p>
      <w:pPr>
        <w:numPr>
          <w:ilvl w:val="1"/>
          <w:numId w:val="1"/>
        </w:numPr>
      </w:pPr>
      <w:r>
        <w:t>evaluate case progress against milestones and outcomes in line</w:t>
      </w:r>
    </w:p>
    <w:p>
      <w:pPr>
        <w:numPr>
          <w:ilvl w:val="0"/>
          <w:numId w:val="1"/>
        </w:numPr>
      </w:pPr>
      <w:r>
        <w:t>with organisational procedures</w:t>
      </w:r>
    </w:p>
    <w:p>
      <w:pPr>
        <w:numPr>
          <w:ilvl w:val="1"/>
          <w:numId w:val="1"/>
        </w:numPr>
      </w:pPr>
      <w:r>
        <w:t>progress case outcomes to conclusion in line with organisational</w:t>
      </w:r>
    </w:p>
    <w:p>
      <w:pPr>
        <w:numPr>
          <w:ilvl w:val="0"/>
          <w:numId w:val="1"/>
        </w:numPr>
      </w:pPr>
      <w:r>
        <w:t>requirements</w:t>
      </w:r>
    </w:p>
    <w:p>
      <w:pPr>
        <w:numPr>
          <w:ilvl w:val="1"/>
          <w:numId w:val="1"/>
        </w:numPr>
      </w:pPr>
      <w:r>
        <w:t>record client details and agreed actions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relevant legislation and guidance in your jurisdiction that form the</w:t>
      </w:r>
    </w:p>
    <w:p>
      <w:pPr>
        <w:numPr>
          <w:ilvl w:val="0"/>
          <w:numId w:val="2"/>
        </w:numPr>
      </w:pPr>
      <w:r>
        <w:t>basis of entitlement to welfare benefits</w:t>
      </w:r>
    </w:p>
    <w:p>
      <w:pPr>
        <w:numPr>
          <w:ilvl w:val="0"/>
          <w:numId w:val="2"/>
        </w:numPr>
      </w:pPr>
      <w:r>
        <w:t>how current human rights legislation affects welfare rights</w:t>
      </w:r>
    </w:p>
    <w:p>
      <w:pPr>
        <w:numPr>
          <w:ilvl w:val="0"/>
          <w:numId w:val="2"/>
        </w:numPr>
      </w:pPr>
      <w:r>
        <w:t>how to distinguish between law and guidance</w:t>
      </w:r>
    </w:p>
    <w:p>
      <w:pPr>
        <w:numPr>
          <w:ilvl w:val="0"/>
          <w:numId w:val="2"/>
        </w:numPr>
      </w:pPr>
      <w:r>
        <w:t>how to use acts, statutes, regulations and guidance to inform, advise</w:t>
      </w:r>
    </w:p>
    <w:p>
      <w:pPr>
        <w:numPr>
          <w:ilvl w:val="0"/>
          <w:numId w:val="2"/>
        </w:numPr>
      </w:pPr>
      <w:r>
        <w:t>and act for clients</w:t>
      </w:r>
    </w:p>
    <w:p>
      <w:pPr>
        <w:numPr>
          <w:ilvl w:val="0"/>
          <w:numId w:val="2"/>
        </w:numPr>
      </w:pPr>
      <w:r>
        <w:t>how to access, research and apply welfare benefits case law and</w:t>
      </w:r>
    </w:p>
    <w:p>
      <w:pPr>
        <w:numPr>
          <w:ilvl w:val="0"/>
          <w:numId w:val="2"/>
        </w:numPr>
      </w:pPr>
      <w:r>
        <w:t>precedent in your jurisdiction, including:</w:t>
      </w:r>
    </w:p>
    <w:p>
      <w:pPr>
        <w:numPr>
          <w:ilvl w:val="0"/>
          <w:numId w:val="2"/>
        </w:numPr>
      </w:pPr>
      <w:r>
        <w:t>6.1 where the burden of proof lies in cases</w:t>
      </w:r>
    </w:p>
    <w:p>
      <w:pPr>
        <w:numPr>
          <w:ilvl w:val="0"/>
          <w:numId w:val="2"/>
        </w:numPr>
      </w:pPr>
      <w:r>
        <w:t>6.2 types of evidence that support cases</w:t>
      </w:r>
    </w:p>
    <w:p>
      <w:pPr>
        <w:numPr>
          <w:ilvl w:val="0"/>
          <w:numId w:val="2"/>
        </w:numPr>
      </w:pPr>
      <w:r>
        <w:t>6.3 how to obtain evidence that supports cases</w:t>
      </w:r>
    </w:p>
    <w:p>
      <w:pPr>
        <w:numPr>
          <w:ilvl w:val="0"/>
          <w:numId w:val="2"/>
        </w:numPr>
      </w:pPr>
      <w:r>
        <w:t>key issues relating to welfare rights arising from current human rights</w:t>
      </w:r>
    </w:p>
    <w:p>
      <w:pPr>
        <w:numPr>
          <w:ilvl w:val="0"/>
          <w:numId w:val="2"/>
        </w:numPr>
      </w:pPr>
      <w:r>
        <w:t>legislation and precedent</w:t>
      </w:r>
    </w:p>
    <w:p>
      <w:pPr>
        <w:numPr>
          <w:ilvl w:val="0"/>
          <w:numId w:val="2"/>
        </w:numPr>
      </w:pPr>
      <w:r>
        <w:t>decision making processes relating to welfare benefits entitlement</w:t>
      </w:r>
    </w:p>
    <w:p>
      <w:pPr>
        <w:numPr>
          <w:ilvl w:val="0"/>
          <w:numId w:val="2"/>
        </w:numPr>
      </w:pPr>
      <w:r>
        <w:t>how to challenge rulings or decisions</w:t>
      </w:r>
    </w:p>
    <w:p>
      <w:pPr>
        <w:numPr>
          <w:ilvl w:val="0"/>
          <w:numId w:val="2"/>
        </w:numPr>
      </w:pPr>
      <w:r>
        <w:t>procedures for review, revision and supercession including</w:t>
      </w:r>
    </w:p>
    <w:p>
      <w:pPr>
        <w:numPr>
          <w:ilvl w:val="0"/>
          <w:numId w:val="2"/>
        </w:numPr>
      </w:pPr>
      <w:r>
        <w:t>mandatory reconsideration</w:t>
      </w:r>
    </w:p>
    <w:p>
      <w:pPr>
        <w:numPr>
          <w:ilvl w:val="0"/>
          <w:numId w:val="2"/>
        </w:numPr>
      </w:pPr>
      <w:r>
        <w:t>how tribunals work in practice</w:t>
      </w:r>
    </w:p>
    <w:p>
      <w:pPr>
        <w:numPr>
          <w:ilvl w:val="0"/>
          <w:numId w:val="2"/>
        </w:numPr>
      </w:pPr>
      <w:r>
        <w:t>how to prepare and present cases for:</w:t>
      </w:r>
    </w:p>
    <w:p>
      <w:pPr>
        <w:numPr>
          <w:ilvl w:val="0"/>
          <w:numId w:val="2"/>
        </w:numPr>
      </w:pPr>
      <w:r>
        <w:t>12.1 tribunals</w:t>
      </w:r>
    </w:p>
    <w:p>
      <w:pPr>
        <w:numPr>
          <w:ilvl w:val="0"/>
          <w:numId w:val="2"/>
        </w:numPr>
      </w:pPr>
      <w:r>
        <w:t>12.2 commissioners' appeals</w:t>
      </w:r>
    </w:p>
    <w:p>
      <w:pPr>
        <w:numPr>
          <w:ilvl w:val="0"/>
          <w:numId w:val="2"/>
        </w:numPr>
      </w:pPr>
      <w:r>
        <w:t>12.3 judicial review</w:t>
      </w:r>
    </w:p>
    <w:p>
      <w:pPr>
        <w:numPr>
          <w:ilvl w:val="0"/>
          <w:numId w:val="2"/>
        </w:numPr>
      </w:pPr>
      <w:r>
        <w:t>criteria for appeals to:</w:t>
      </w:r>
    </w:p>
    <w:p>
      <w:pPr>
        <w:numPr>
          <w:ilvl w:val="0"/>
          <w:numId w:val="2"/>
        </w:numPr>
      </w:pPr>
      <w:r>
        <w:t>13.1 the Upper Tribunal</w:t>
      </w:r>
    </w:p>
    <w:p>
      <w:pPr>
        <w:numPr>
          <w:ilvl w:val="0"/>
          <w:numId w:val="2"/>
        </w:numPr>
      </w:pPr>
      <w:r>
        <w:t>13.2 judicial review</w:t>
      </w:r>
    </w:p>
    <w:p>
      <w:pPr>
        <w:numPr>
          <w:ilvl w:val="0"/>
          <w:numId w:val="2"/>
        </w:numPr>
      </w:pPr>
      <w:r>
        <w:t>remedies available in your jurisdiction other than appeals</w:t>
      </w:r>
    </w:p>
    <w:p>
      <w:pPr>
        <w:numPr>
          <w:ilvl w:val="0"/>
          <w:numId w:val="2"/>
        </w:numPr>
      </w:pPr>
      <w:r>
        <w:t>different classes of contributions and their conditions</w:t>
      </w:r>
    </w:p>
    <w:p>
      <w:pPr>
        <w:numPr>
          <w:ilvl w:val="0"/>
          <w:numId w:val="2"/>
        </w:numPr>
      </w:pPr>
      <w:r>
        <w:t>how different types of income and capital affect means tested</w:t>
      </w:r>
    </w:p>
    <w:p>
      <w:pPr>
        <w:numPr>
          <w:ilvl w:val="0"/>
          <w:numId w:val="2"/>
        </w:numPr>
      </w:pPr>
      <w:r>
        <w:t>benefits</w:t>
      </w:r>
    </w:p>
    <w:p>
      <w:pPr>
        <w:numPr>
          <w:ilvl w:val="0"/>
          <w:numId w:val="2"/>
        </w:numPr>
      </w:pPr>
      <w:r>
        <w:t>benefits criteria and their implications for special client groups</w:t>
      </w:r>
    </w:p>
    <w:p>
      <w:pPr>
        <w:numPr>
          <w:ilvl w:val="0"/>
          <w:numId w:val="2"/>
        </w:numPr>
      </w:pPr>
      <w:r>
        <w:t>options available to clients whose benefit has been:</w:t>
      </w:r>
    </w:p>
    <w:p>
      <w:pPr>
        <w:numPr>
          <w:ilvl w:val="0"/>
          <w:numId w:val="2"/>
        </w:numPr>
      </w:pPr>
      <w:r>
        <w:t>18.1 suspended</w:t>
      </w:r>
    </w:p>
    <w:p>
      <w:pPr>
        <w:numPr>
          <w:ilvl w:val="0"/>
          <w:numId w:val="2"/>
        </w:numPr>
      </w:pPr>
      <w:r>
        <w:t>18.2 stopped</w:t>
      </w:r>
    </w:p>
    <w:p>
      <w:pPr>
        <w:numPr>
          <w:ilvl w:val="0"/>
          <w:numId w:val="2"/>
        </w:numPr>
      </w:pPr>
      <w:r>
        <w:t>options available to clients who are under investigation</w:t>
      </w:r>
    </w:p>
    <w:p>
      <w:pPr>
        <w:numPr>
          <w:ilvl w:val="0"/>
          <w:numId w:val="2"/>
        </w:numPr>
      </w:pPr>
      <w:r>
        <w:t>rules and time limits for late claims and backdating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ib20</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Welfare rights issues; Complex areas of law; Present cases in court; Legal advice; Casework; Welfare; Benefits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C8B9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05CA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88f4f322984995" /><Relationship Type="http://schemas.openxmlformats.org/officeDocument/2006/relationships/numbering" Target="/word/numbering.xml" Id="R836c39a1f2aa4078" /><Relationship Type="http://schemas.openxmlformats.org/officeDocument/2006/relationships/settings" Target="/word/settings.xml" Id="R40eb4776b848482c" /><Relationship Type="http://schemas.openxmlformats.org/officeDocument/2006/relationships/image" Target="/word/media/d745be3a-47a2-4004-b17f-bf51e77cfe57.png" Id="R429062a8593d4f82" /></Relationships>
</file>