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045cedf0e94e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SFJIB15</w:t>
            </w:r>
            <w:r>
              <w:rPr>
                <w:b/>
              </w:rPr>
              <w:br/>
            </w:r>
            <w:r>
              <w:rPr>
                <w:b/>
              </w:rPr>
              <w:t>Provide first line employment legal advice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8a122952e64c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clients with information and advice at the point of initial contact with the service. The information and advice you provide will relate to employment legal advice. As part of this standard you will need to know how to decide when to refer clients on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legal advice services you can offer in line</w:t>
      </w:r>
    </w:p>
    <w:p>
      <w:pPr>
        <w:numPr>
          <w:ilvl w:val="0"/>
          <w:numId w:val="1"/>
        </w:numPr>
      </w:pPr>
      <w:r>
        <w:t>with organisational 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with clients their legal advice requirements in line with</w:t>
      </w:r>
    </w:p>
    <w:p>
      <w:pPr>
        <w:numPr>
          <w:ilvl w:val="0"/>
          <w:numId w:val="1"/>
        </w:numPr>
      </w:pPr>
      <w:r>
        <w:t>relevant legislation, policies and procedures</w:t>
      </w:r>
    </w:p>
    <w:p>
      <w:pPr>
        <w:numPr>
          <w:ilvl w:val="1"/>
          <w:numId w:val="1"/>
        </w:numPr>
      </w:pPr>
      <w:r>
        <w:t>agree with clients any situations which require immediate action</w:t>
      </w:r>
    </w:p>
    <w:p>
      <w:pPr>
        <w:numPr>
          <w:ilvl w:val="0"/>
          <w:numId w:val="1"/>
        </w:numPr>
      </w:pPr>
      <w:r>
        <w:t>and take steps to implement in line with their requirements</w:t>
      </w:r>
    </w:p>
    <w:p>
      <w:pPr>
        <w:numPr>
          <w:ilvl w:val="1"/>
          <w:numId w:val="1"/>
        </w:numPr>
      </w:pPr>
      <w:r>
        <w:t>explain the organisation's systems and procedures for working</w:t>
      </w:r>
    </w:p>
    <w:p>
      <w:pPr>
        <w:numPr>
          <w:ilvl w:val="0"/>
          <w:numId w:val="1"/>
        </w:numPr>
      </w:pPr>
      <w:r>
        <w:t>with clients</w:t>
      </w:r>
    </w:p>
    <w:p>
      <w:pPr>
        <w:numPr>
          <w:ilvl w:val="1"/>
          <w:numId w:val="1"/>
        </w:numPr>
      </w:pPr>
      <w:r>
        <w:t>analyse available client information to assign relevance to their</w:t>
      </w:r>
    </w:p>
    <w:p>
      <w:pPr>
        <w:numPr>
          <w:ilvl w:val="0"/>
          <w:numId w:val="1"/>
        </w:numPr>
      </w:pPr>
      <w:r>
        <w:t>case in line with your professional judgement</w:t>
      </w:r>
    </w:p>
    <w:p>
      <w:pPr>
        <w:numPr>
          <w:ilvl w:val="1"/>
          <w:numId w:val="1"/>
        </w:numPr>
      </w:pPr>
      <w:r>
        <w:t>record client details and agreed actions in line with organisational</w:t>
      </w:r>
    </w:p>
    <w:p>
      <w:pPr>
        <w:numPr>
          <w:ilvl w:val="0"/>
          <w:numId w:val="1"/>
        </w:numPr>
      </w:pPr>
      <w:r>
        <w:t>requirements</w:t>
      </w:r>
    </w:p>
    <w:p>
      <w:pPr>
        <w:numPr>
          <w:ilvl w:val="1"/>
          <w:numId w:val="1"/>
        </w:numPr>
      </w:pPr>
      <w:r>
        <w:t>review sources of information to assess applicability to clients</w:t>
      </w:r>
    </w:p>
    <w:p>
      <w:pPr>
        <w:numPr>
          <w:ilvl w:val="0"/>
          <w:numId w:val="1"/>
        </w:numPr>
      </w:pPr>
      <w:r>
        <w:t>situations</w:t>
      </w:r>
    </w:p>
    <w:p>
      <w:pPr>
        <w:numPr>
          <w:ilvl w:val="1"/>
          <w:numId w:val="1"/>
        </w:numPr>
      </w:pPr>
      <w:r>
        <w:t>check that information obtained enables you to advise clients</w:t>
      </w:r>
    </w:p>
    <w:p>
      <w:pPr>
        <w:numPr>
          <w:ilvl w:val="1"/>
          <w:numId w:val="1"/>
        </w:numPr>
      </w:pPr>
      <w:r>
        <w:t>analyse information received from clients and the research</w:t>
      </w:r>
    </w:p>
    <w:p>
      <w:pPr>
        <w:numPr>
          <w:ilvl w:val="0"/>
          <w:numId w:val="1"/>
        </w:numPr>
      </w:pPr>
      <w:r>
        <w:t>process to formulate options in line with clients needs</w:t>
      </w:r>
    </w:p>
    <w:p>
      <w:pPr>
        <w:numPr>
          <w:ilvl w:val="1"/>
          <w:numId w:val="1"/>
        </w:numPr>
      </w:pPr>
      <w:r>
        <w:t>present clients with information and possible options for action in</w:t>
      </w:r>
    </w:p>
    <w:p>
      <w:pPr>
        <w:numPr>
          <w:ilvl w:val="0"/>
          <w:numId w:val="1"/>
        </w:numPr>
      </w:pPr>
      <w:r>
        <w:t>line 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agree actions required by you and clients in line with</w:t>
      </w:r>
    </w:p>
    <w:p>
      <w:pPr>
        <w:numPr>
          <w:ilvl w:val="0"/>
          <w:numId w:val="1"/>
        </w:numPr>
      </w:pPr>
      <w:r>
        <w:t>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legislative frameworks in your jurisdiction relating to employment</w:t>
      </w:r>
    </w:p>
    <w:p>
      <w:pPr>
        <w:numPr>
          <w:ilvl w:val="0"/>
          <w:numId w:val="2"/>
        </w:numPr>
      </w:pPr>
      <w:r>
        <w:t>categories of employment status</w:t>
      </w:r>
    </w:p>
    <w:p>
      <w:pPr>
        <w:numPr>
          <w:ilvl w:val="0"/>
          <w:numId w:val="2"/>
        </w:numPr>
      </w:pPr>
      <w:r>
        <w:t>tests available for employment status, and:</w:t>
      </w:r>
    </w:p>
    <w:p>
      <w:pPr>
        <w:numPr>
          <w:ilvl w:val="0"/>
          <w:numId w:val="2"/>
        </w:numPr>
      </w:pPr>
      <w:r>
        <w:t>3.1 their purpose</w:t>
      </w:r>
    </w:p>
    <w:p>
      <w:pPr>
        <w:numPr>
          <w:ilvl w:val="0"/>
          <w:numId w:val="2"/>
        </w:numPr>
      </w:pPr>
      <w:r>
        <w:t>3.2 where to source employment tests</w:t>
      </w:r>
    </w:p>
    <w:p>
      <w:pPr>
        <w:numPr>
          <w:ilvl w:val="0"/>
          <w:numId w:val="2"/>
        </w:numPr>
      </w:pPr>
      <w:r>
        <w:t>3.3 how to use and apply employment tests</w:t>
      </w:r>
    </w:p>
    <w:p>
      <w:pPr>
        <w:numPr>
          <w:ilvl w:val="0"/>
          <w:numId w:val="2"/>
        </w:numPr>
      </w:pPr>
      <w:r>
        <w:t>specific statutory rights protecting different clients and client groups</w:t>
      </w:r>
    </w:p>
    <w:p>
      <w:pPr>
        <w:numPr>
          <w:ilvl w:val="0"/>
          <w:numId w:val="2"/>
        </w:numPr>
      </w:pPr>
      <w:r>
        <w:t>how statutory rights in work are affected by status</w:t>
      </w:r>
    </w:p>
    <w:p>
      <w:pPr>
        <w:numPr>
          <w:ilvl w:val="0"/>
          <w:numId w:val="2"/>
        </w:numPr>
      </w:pPr>
      <w:r>
        <w:t>differences between statutory and contractual rights in employment</w:t>
      </w:r>
    </w:p>
    <w:p>
      <w:pPr>
        <w:numPr>
          <w:ilvl w:val="0"/>
          <w:numId w:val="2"/>
        </w:numPr>
      </w:pPr>
      <w:r>
        <w:t>available sources of evidence for contractual terms</w:t>
      </w:r>
    </w:p>
    <w:p>
      <w:pPr>
        <w:numPr>
          <w:ilvl w:val="0"/>
          <w:numId w:val="2"/>
        </w:numPr>
      </w:pPr>
      <w:r>
        <w:t>the key contractual issues that arise at work</w:t>
      </w:r>
    </w:p>
    <w:p>
      <w:pPr>
        <w:numPr>
          <w:ilvl w:val="0"/>
          <w:numId w:val="2"/>
        </w:numPr>
      </w:pPr>
      <w:r>
        <w:t>legislation frameworks relating to discrimination in employment</w:t>
      </w:r>
    </w:p>
    <w:p>
      <w:pPr>
        <w:numPr>
          <w:ilvl w:val="0"/>
          <w:numId w:val="2"/>
        </w:numPr>
      </w:pPr>
      <w:r>
        <w:t>scope and eligibility of discrimination described in legal frameworks</w:t>
      </w:r>
    </w:p>
    <w:p>
      <w:pPr>
        <w:numPr>
          <w:ilvl w:val="0"/>
          <w:numId w:val="2"/>
        </w:numPr>
      </w:pPr>
      <w:r>
        <w:t>key types of discrimination at work</w:t>
      </w:r>
    </w:p>
    <w:p>
      <w:pPr>
        <w:numPr>
          <w:ilvl w:val="0"/>
          <w:numId w:val="2"/>
        </w:numPr>
      </w:pPr>
      <w:r>
        <w:t>tests available for discrimination, their purpose, and where to</w:t>
      </w:r>
    </w:p>
    <w:p>
      <w:pPr>
        <w:numPr>
          <w:ilvl w:val="0"/>
          <w:numId w:val="2"/>
        </w:numPr>
      </w:pPr>
      <w:r>
        <w:t>source these</w:t>
      </w:r>
    </w:p>
    <w:p>
      <w:pPr>
        <w:numPr>
          <w:ilvl w:val="0"/>
          <w:numId w:val="2"/>
        </w:numPr>
      </w:pPr>
      <w:r>
        <w:t>key responsibilities of employers in relation to disabilities</w:t>
      </w:r>
    </w:p>
    <w:p>
      <w:pPr>
        <w:numPr>
          <w:ilvl w:val="0"/>
          <w:numId w:val="2"/>
        </w:numPr>
      </w:pPr>
      <w:r>
        <w:t>eligibility criteria for different forms of dismissal, including:</w:t>
      </w:r>
    </w:p>
    <w:p>
      <w:pPr>
        <w:numPr>
          <w:ilvl w:val="0"/>
          <w:numId w:val="2"/>
        </w:numPr>
      </w:pPr>
      <w:r>
        <w:t>14.1 wrongful dismissal</w:t>
      </w:r>
    </w:p>
    <w:p>
      <w:pPr>
        <w:numPr>
          <w:ilvl w:val="0"/>
          <w:numId w:val="2"/>
        </w:numPr>
      </w:pPr>
      <w:r>
        <w:t>14.2 unfair dismissal</w:t>
      </w:r>
    </w:p>
    <w:p>
      <w:pPr>
        <w:numPr>
          <w:ilvl w:val="0"/>
          <w:numId w:val="2"/>
        </w:numPr>
      </w:pPr>
      <w:r>
        <w:t>14.3 constructive dismissal</w:t>
      </w:r>
    </w:p>
    <w:p>
      <w:pPr>
        <w:numPr>
          <w:ilvl w:val="0"/>
          <w:numId w:val="2"/>
        </w:numPr>
      </w:pPr>
      <w:r>
        <w:t>14.4 automatic unfair dismissal</w:t>
      </w:r>
    </w:p>
    <w:p>
      <w:pPr>
        <w:numPr>
          <w:ilvl w:val="0"/>
          <w:numId w:val="2"/>
        </w:numPr>
      </w:pPr>
      <w:r>
        <w:t>main statutory rights on termination of work, including:</w:t>
      </w:r>
    </w:p>
    <w:p>
      <w:pPr>
        <w:numPr>
          <w:ilvl w:val="0"/>
          <w:numId w:val="2"/>
        </w:numPr>
      </w:pPr>
      <w:r>
        <w:t>15.1 redundancy</w:t>
      </w:r>
    </w:p>
    <w:p>
      <w:pPr>
        <w:numPr>
          <w:ilvl w:val="0"/>
          <w:numId w:val="2"/>
        </w:numPr>
      </w:pPr>
      <w:r>
        <w:t>15.2 notice</w:t>
      </w:r>
    </w:p>
    <w:p>
      <w:pPr>
        <w:numPr>
          <w:ilvl w:val="0"/>
          <w:numId w:val="2"/>
        </w:numPr>
      </w:pPr>
      <w:r>
        <w:t>15.3 dismissal</w:t>
      </w:r>
    </w:p>
    <w:p>
      <w:pPr>
        <w:numPr>
          <w:ilvl w:val="0"/>
          <w:numId w:val="2"/>
        </w:numPr>
      </w:pPr>
      <w:r>
        <w:t>15.4 retirement</w:t>
      </w:r>
    </w:p>
    <w:p>
      <w:pPr>
        <w:numPr>
          <w:ilvl w:val="0"/>
          <w:numId w:val="2"/>
        </w:numPr>
      </w:pPr>
      <w:r>
        <w:t>15.5 transfer of business</w:t>
      </w:r>
    </w:p>
    <w:p>
      <w:pPr>
        <w:numPr>
          <w:ilvl w:val="0"/>
          <w:numId w:val="2"/>
        </w:numPr>
      </w:pPr>
      <w:r>
        <w:t>15.6 insolvency</w:t>
      </w:r>
    </w:p>
    <w:p>
      <w:pPr>
        <w:numPr>
          <w:ilvl w:val="0"/>
          <w:numId w:val="2"/>
        </w:numPr>
      </w:pPr>
      <w:r>
        <w:t>15.7 lay off and short term working</w:t>
      </w:r>
    </w:p>
    <w:p>
      <w:pPr>
        <w:numPr>
          <w:ilvl w:val="0"/>
          <w:numId w:val="2"/>
        </w:numPr>
      </w:pPr>
      <w:r>
        <w:t>how to draft relevant documentation in simple cases, including:</w:t>
      </w:r>
    </w:p>
    <w:p>
      <w:pPr>
        <w:numPr>
          <w:ilvl w:val="0"/>
          <w:numId w:val="2"/>
        </w:numPr>
      </w:pPr>
      <w:r>
        <w:t>16.1 grievances</w:t>
      </w:r>
    </w:p>
    <w:p>
      <w:pPr>
        <w:numPr>
          <w:ilvl w:val="0"/>
          <w:numId w:val="2"/>
        </w:numPr>
      </w:pPr>
      <w:r>
        <w:t>16.2 appeal letters</w:t>
      </w:r>
    </w:p>
    <w:p>
      <w:pPr>
        <w:numPr>
          <w:ilvl w:val="0"/>
          <w:numId w:val="2"/>
        </w:numPr>
      </w:pPr>
      <w:r>
        <w:t>16.3 tribunal claims</w:t>
      </w:r>
    </w:p>
    <w:p>
      <w:pPr>
        <w:numPr>
          <w:ilvl w:val="0"/>
          <w:numId w:val="2"/>
        </w:numPr>
      </w:pPr>
      <w:r>
        <w:t>types of employment procedures which employers apply</w:t>
      </w:r>
    </w:p>
    <w:p>
      <w:pPr>
        <w:numPr>
          <w:ilvl w:val="0"/>
          <w:numId w:val="2"/>
        </w:numPr>
      </w:pPr>
      <w:r>
        <w:t>the types of tribunals and courts in your jurisdiction relevant to</w:t>
      </w:r>
    </w:p>
    <w:p>
      <w:pPr>
        <w:numPr>
          <w:ilvl w:val="0"/>
          <w:numId w:val="2"/>
        </w:numPr>
      </w:pPr>
      <w:r>
        <w:t>employment disputes</w:t>
      </w:r>
    </w:p>
    <w:p>
      <w:pPr>
        <w:numPr>
          <w:ilvl w:val="0"/>
          <w:numId w:val="2"/>
        </w:numPr>
      </w:pPr>
      <w:r>
        <w:t>how time limits for tribunals and courts may be affected by statutory</w:t>
      </w:r>
    </w:p>
    <w:p>
      <w:pPr>
        <w:numPr>
          <w:ilvl w:val="0"/>
          <w:numId w:val="2"/>
        </w:numPr>
      </w:pPr>
      <w:r>
        <w:t>dispute resolution procedures</w:t>
      </w:r>
    </w:p>
    <w:p>
      <w:pPr>
        <w:numPr>
          <w:ilvl w:val="0"/>
          <w:numId w:val="2"/>
        </w:numPr>
      </w:pPr>
      <w:r>
        <w:t>potential outcomes from the range of options available for redress</w:t>
      </w:r>
    </w:p>
    <w:p>
      <w:pPr>
        <w:numPr>
          <w:ilvl w:val="0"/>
          <w:numId w:val="2"/>
        </w:numPr>
      </w:pPr>
      <w:r>
        <w:t>sources of available funding</w:t>
      </w:r>
    </w:p>
    <w:p>
      <w:pPr>
        <w:numPr>
          <w:ilvl w:val="0"/>
          <w:numId w:val="2"/>
        </w:numPr>
      </w:pPr>
      <w:r>
        <w:t>external resources available for consultancy and referral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ib15</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First point of contact; Referral to specialist advice; Provide; Information; Advice; Legal; Legislation; Employment; Contract; Referral; Rights; Employees; Workers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2F9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25F1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159be9d6a845b9" /><Relationship Type="http://schemas.openxmlformats.org/officeDocument/2006/relationships/numbering" Target="/word/numbering.xml" Id="R6b0a8805f68b4a2a" /><Relationship Type="http://schemas.openxmlformats.org/officeDocument/2006/relationships/settings" Target="/word/settings.xml" Id="Ra8dc030773b14c30" /><Relationship Type="http://schemas.openxmlformats.org/officeDocument/2006/relationships/image" Target="/word/media/32e9cedf-1cdc-4067-b516-5c7785314881.png" Id="Ra78a122952e64c07" /></Relationships>
</file>