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c9f1c934bc40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SFJIB10</w:t>
            </w:r>
            <w:r>
              <w:rPr>
                <w:b/>
              </w:rPr>
              <w:br/>
            </w:r>
            <w:r>
              <w:rPr>
                <w:b/>
              </w:rPr>
              <w:t>Provide specialist housing legal advice and progress cases  with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b23487805c47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provision of legal advice in relation to a broad range of housing issues. You will establish clients' needs and expectations of services, research information which is relevant to their situations and provide them with appropriate and accurate legal advice. This includes advising clients on complex areas of law. You will also know how and be able to prepare and present cases in formal or informal hearings.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client in a manner appropriate to their</w:t>
      </w:r>
    </w:p>
    <w:p>
      <w:pPr>
        <w:numPr>
          <w:ilvl w:val="0"/>
          <w:numId w:val="1"/>
        </w:numPr>
      </w:pPr>
      <w:r>
        <w:t>understanding and needs</w:t>
      </w:r>
    </w:p>
    <w:p>
      <w:pPr>
        <w:numPr>
          <w:ilvl w:val="1"/>
          <w:numId w:val="1"/>
        </w:numPr>
      </w:pPr>
      <w:r>
        <w:t>explain to clients the services that you can offer in line with their</w:t>
      </w:r>
    </w:p>
    <w:p>
      <w:pPr>
        <w:numPr>
          <w:ilvl w:val="0"/>
          <w:numId w:val="1"/>
        </w:numPr>
      </w:pPr>
      <w:r>
        <w:t>requirements</w:t>
      </w:r>
    </w:p>
    <w:p>
      <w:pPr>
        <w:numPr>
          <w:ilvl w:val="1"/>
          <w:numId w:val="1"/>
        </w:numPr>
      </w:pPr>
      <w:r>
        <w:t>check that clients understanding of legal advice services is</w:t>
      </w:r>
    </w:p>
    <w:p>
      <w:pPr>
        <w:numPr>
          <w:ilvl w:val="0"/>
          <w:numId w:val="1"/>
        </w:numPr>
      </w:pPr>
      <w:r>
        <w:t>consistent with information you have provided</w:t>
      </w:r>
    </w:p>
    <w:p>
      <w:pPr>
        <w:numPr>
          <w:ilvl w:val="1"/>
          <w:numId w:val="1"/>
        </w:numPr>
      </w:pPr>
      <w:r>
        <w:t>agree further actions and any immediate action with clients in line</w:t>
      </w:r>
    </w:p>
    <w:p>
      <w:pPr>
        <w:numPr>
          <w:ilvl w:val="0"/>
          <w:numId w:val="1"/>
        </w:numPr>
      </w:pPr>
      <w:r>
        <w:t>with their requirements, including:</w:t>
      </w:r>
    </w:p>
    <w:p>
      <w:pPr>
        <w:numPr>
          <w:ilvl w:val="0"/>
          <w:numId w:val="1"/>
        </w:numPr>
      </w:pPr>
      <w:r>
        <w:t>4.1 procedures</w:t>
      </w:r>
    </w:p>
    <w:p>
      <w:pPr>
        <w:numPr>
          <w:ilvl w:val="0"/>
          <w:numId w:val="1"/>
        </w:numPr>
      </w:pPr>
      <w:r>
        <w:t>4.2 responsibilities</w:t>
      </w:r>
    </w:p>
    <w:p>
      <w:pPr>
        <w:numPr>
          <w:ilvl w:val="0"/>
          <w:numId w:val="1"/>
        </w:numPr>
      </w:pPr>
      <w:r>
        <w:t>4.3 time limits</w:t>
      </w:r>
    </w:p>
    <w:p>
      <w:pPr>
        <w:numPr>
          <w:ilvl w:val="1"/>
          <w:numId w:val="1"/>
        </w:numPr>
      </w:pPr>
      <w:r>
        <w:t>analyse available client information to assign relevance to their case</w:t>
      </w:r>
    </w:p>
    <w:p>
      <w:pPr>
        <w:numPr>
          <w:ilvl w:val="0"/>
          <w:numId w:val="1"/>
        </w:numPr>
      </w:pPr>
      <w:r>
        <w:t>in line with your professional judgement</w:t>
      </w:r>
    </w:p>
    <w:p>
      <w:pPr>
        <w:numPr>
          <w:ilvl w:val="1"/>
          <w:numId w:val="1"/>
        </w:numPr>
      </w:pPr>
      <w:r>
        <w:t>review and check sources of information to assess applicability to</w:t>
      </w:r>
    </w:p>
    <w:p>
      <w:pPr>
        <w:numPr>
          <w:ilvl w:val="0"/>
          <w:numId w:val="1"/>
        </w:numPr>
      </w:pPr>
      <w:r>
        <w:t>clients situations</w:t>
      </w:r>
    </w:p>
    <w:p>
      <w:pPr>
        <w:numPr>
          <w:ilvl w:val="1"/>
          <w:numId w:val="1"/>
        </w:numPr>
      </w:pPr>
      <w:r>
        <w:t>analyse information received from clients and the research process</w:t>
      </w:r>
    </w:p>
    <w:p>
      <w:pPr>
        <w:numPr>
          <w:ilvl w:val="0"/>
          <w:numId w:val="1"/>
        </w:numPr>
      </w:pPr>
      <w:r>
        <w:t>to formulate options in line with clients needs</w:t>
      </w:r>
    </w:p>
    <w:p>
      <w:pPr>
        <w:numPr>
          <w:ilvl w:val="1"/>
          <w:numId w:val="1"/>
        </w:numPr>
      </w:pPr>
      <w:r>
        <w:t>present clients with information and possible options for action in line</w:t>
      </w:r>
    </w:p>
    <w:p>
      <w:pPr>
        <w:numPr>
          <w:ilvl w:val="0"/>
          <w:numId w:val="1"/>
        </w:numPr>
      </w:pPr>
      <w:r>
        <w:t>with organisational requirements</w:t>
      </w:r>
    </w:p>
    <w:p>
      <w:pPr>
        <w:numPr>
          <w:ilvl w:val="1"/>
          <w:numId w:val="1"/>
        </w:numPr>
      </w:pPr>
      <w:r>
        <w:t>advise clients on the implications of possible options in line with</w:t>
      </w:r>
    </w:p>
    <w:p>
      <w:pPr>
        <w:numPr>
          <w:ilvl w:val="0"/>
          <w:numId w:val="1"/>
        </w:numPr>
      </w:pPr>
      <w:r>
        <w:t>organisational requirements</w:t>
      </w:r>
    </w:p>
    <w:p>
      <w:pPr>
        <w:numPr>
          <w:ilvl w:val="1"/>
          <w:numId w:val="1"/>
        </w:numPr>
      </w:pPr>
      <w:r>
        <w:t>check clients understanding of the advice offered in line with</w:t>
      </w:r>
    </w:p>
    <w:p>
      <w:pPr>
        <w:numPr>
          <w:ilvl w:val="0"/>
          <w:numId w:val="1"/>
        </w:numPr>
      </w:pPr>
      <w:r>
        <w:t>organisational requirements</w:t>
      </w:r>
    </w:p>
    <w:p>
      <w:pPr>
        <w:numPr>
          <w:ilvl w:val="1"/>
          <w:numId w:val="1"/>
        </w:numPr>
      </w:pPr>
      <w:r>
        <w:t>open client case files in line with organisational procedures</w:t>
      </w:r>
    </w:p>
    <w:p>
      <w:pPr>
        <w:numPr>
          <w:ilvl w:val="1"/>
          <w:numId w:val="1"/>
        </w:numPr>
      </w:pPr>
      <w:r>
        <w:t>design an action plan with clients in line with organisational</w:t>
      </w:r>
    </w:p>
    <w:p>
      <w:pPr>
        <w:numPr>
          <w:ilvl w:val="0"/>
          <w:numId w:val="1"/>
        </w:numPr>
      </w:pPr>
      <w:r>
        <w:t>processes, and agree roles and responsibilities for progressing actions</w:t>
      </w:r>
    </w:p>
    <w:p>
      <w:pPr>
        <w:numPr>
          <w:ilvl w:val="1"/>
          <w:numId w:val="1"/>
        </w:numPr>
      </w:pPr>
      <w:r>
        <w:t>progress actions on behalf of clients in line with agreed timescales</w:t>
      </w:r>
    </w:p>
    <w:p>
      <w:pPr>
        <w:numPr>
          <w:ilvl w:val="1"/>
          <w:numId w:val="1"/>
        </w:numPr>
      </w:pPr>
      <w:r>
        <w:t>evaluate case progress against milestones and outcomes in line</w:t>
      </w:r>
    </w:p>
    <w:p>
      <w:pPr>
        <w:numPr>
          <w:ilvl w:val="0"/>
          <w:numId w:val="1"/>
        </w:numPr>
      </w:pPr>
      <w:r>
        <w:t>with organisational procedures</w:t>
      </w:r>
    </w:p>
    <w:p>
      <w:pPr>
        <w:numPr>
          <w:ilvl w:val="1"/>
          <w:numId w:val="1"/>
        </w:numPr>
      </w:pPr>
      <w:r>
        <w:t>progress case outcomes to conclusion in line with organisational</w:t>
      </w:r>
    </w:p>
    <w:p>
      <w:pPr>
        <w:numPr>
          <w:ilvl w:val="0"/>
          <w:numId w:val="1"/>
        </w:numPr>
      </w:pPr>
      <w:r>
        <w:t>requirements</w:t>
      </w:r>
    </w:p>
    <w:p>
      <w:pPr>
        <w:numPr>
          <w:ilvl w:val="1"/>
          <w:numId w:val="1"/>
        </w:numPr>
      </w:pPr>
      <w:r>
        <w:t>record client details and agreed actions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how to adapt communication styles in ways which are appropriate to</w:t>
      </w:r>
    </w:p>
    <w:p>
      <w:pPr/>
      <w:r>
        <w:rPr>
          <w:lang w:val="en-GB"/>
        </w:rPr>
        <w:t>the needs of the client</w:t>
      </w:r>
    </w:p>
    <w:p>
      <w:pPr>
        <w:numPr>
          <w:ilvl w:val="0"/>
          <w:numId w:val="2"/>
        </w:numPr>
      </w:pPr>
      <w:r>
        <w:t>legislation, case law and guidance in your jurisdiction relating to</w:t>
      </w:r>
    </w:p>
    <w:p>
      <w:pPr>
        <w:numPr>
          <w:ilvl w:val="0"/>
          <w:numId w:val="2"/>
        </w:numPr>
      </w:pPr>
      <w:r>
        <w:t>statutory housing allocation</w:t>
      </w:r>
    </w:p>
    <w:p>
      <w:pPr>
        <w:numPr>
          <w:ilvl w:val="0"/>
          <w:numId w:val="2"/>
        </w:numPr>
      </w:pPr>
      <w:r>
        <w:t>types of tenancies in your jurisdiction and rights and responsibilities</w:t>
      </w:r>
    </w:p>
    <w:p>
      <w:pPr>
        <w:numPr>
          <w:ilvl w:val="0"/>
          <w:numId w:val="2"/>
        </w:numPr>
      </w:pPr>
      <w:r>
        <w:t>under each</w:t>
      </w:r>
    </w:p>
    <w:p>
      <w:pPr>
        <w:numPr>
          <w:ilvl w:val="0"/>
          <w:numId w:val="2"/>
        </w:numPr>
      </w:pPr>
      <w:r>
        <w:t>how to distinguish between a licence, a tenancy and excluded</w:t>
      </w:r>
    </w:p>
    <w:p>
      <w:pPr>
        <w:numPr>
          <w:ilvl w:val="0"/>
          <w:numId w:val="2"/>
        </w:numPr>
      </w:pPr>
      <w:r>
        <w:t>occupiers</w:t>
      </w:r>
    </w:p>
    <w:p>
      <w:pPr>
        <w:numPr>
          <w:ilvl w:val="0"/>
          <w:numId w:val="2"/>
        </w:numPr>
      </w:pPr>
      <w:r>
        <w:t>the definition of the terms contractual and statutory, periodic and</w:t>
      </w:r>
    </w:p>
    <w:p>
      <w:pPr>
        <w:numPr>
          <w:ilvl w:val="0"/>
          <w:numId w:val="2"/>
        </w:numPr>
      </w:pPr>
      <w:r>
        <w:t>fixed term in relation to licences and tenancies</w:t>
      </w:r>
    </w:p>
    <w:p>
      <w:pPr>
        <w:numPr>
          <w:ilvl w:val="0"/>
          <w:numId w:val="2"/>
        </w:numPr>
      </w:pPr>
      <w:r>
        <w:t>types of letting in your jurisdiction</w:t>
      </w:r>
    </w:p>
    <w:p>
      <w:pPr>
        <w:numPr>
          <w:ilvl w:val="0"/>
          <w:numId w:val="2"/>
        </w:numPr>
      </w:pPr>
      <w:r>
        <w:t>rights and responsibilities of landlords and occupiers under different</w:t>
      </w:r>
    </w:p>
    <w:p>
      <w:pPr>
        <w:numPr>
          <w:ilvl w:val="0"/>
          <w:numId w:val="2"/>
        </w:numPr>
      </w:pPr>
      <w:r>
        <w:t>types of lettings</w:t>
      </w:r>
    </w:p>
    <w:p>
      <w:pPr>
        <w:numPr>
          <w:ilvl w:val="0"/>
          <w:numId w:val="2"/>
        </w:numPr>
      </w:pPr>
      <w:r>
        <w:t>how to identify licences and tenancies</w:t>
      </w:r>
    </w:p>
    <w:p>
      <w:pPr>
        <w:numPr>
          <w:ilvl w:val="0"/>
          <w:numId w:val="2"/>
        </w:numPr>
      </w:pPr>
      <w:r>
        <w:t>the importance of dates when tenancies were created</w:t>
      </w:r>
    </w:p>
    <w:p>
      <w:pPr>
        <w:numPr>
          <w:ilvl w:val="0"/>
          <w:numId w:val="2"/>
        </w:numPr>
      </w:pPr>
      <w:r>
        <w:t>considerations around:</w:t>
      </w:r>
    </w:p>
    <w:p>
      <w:pPr>
        <w:numPr>
          <w:ilvl w:val="0"/>
          <w:numId w:val="2"/>
        </w:numPr>
      </w:pPr>
      <w:r>
        <w:t>10.1 protected and regulated tenancies</w:t>
      </w:r>
    </w:p>
    <w:p>
      <w:pPr>
        <w:numPr>
          <w:ilvl w:val="0"/>
          <w:numId w:val="2"/>
        </w:numPr>
      </w:pPr>
      <w:r>
        <w:t>10.2 tied and agricultural tenancies</w:t>
      </w:r>
    </w:p>
    <w:p>
      <w:pPr>
        <w:numPr>
          <w:ilvl w:val="0"/>
          <w:numId w:val="2"/>
        </w:numPr>
      </w:pPr>
      <w:r>
        <w:t>10.3 housing co-operative tenancies</w:t>
      </w:r>
    </w:p>
    <w:p>
      <w:pPr>
        <w:numPr>
          <w:ilvl w:val="0"/>
          <w:numId w:val="2"/>
        </w:numPr>
      </w:pPr>
      <w:r>
        <w:t>10.4 service occupation</w:t>
      </w:r>
    </w:p>
    <w:p>
      <w:pPr>
        <w:numPr>
          <w:ilvl w:val="0"/>
          <w:numId w:val="2"/>
        </w:numPr>
      </w:pPr>
      <w:r>
        <w:t>10.5 around long lease holders</w:t>
      </w:r>
    </w:p>
    <w:p>
      <w:pPr>
        <w:numPr>
          <w:ilvl w:val="0"/>
          <w:numId w:val="2"/>
        </w:numPr>
      </w:pPr>
      <w:r>
        <w:t>10.6 ending tenancies</w:t>
      </w:r>
    </w:p>
    <w:p>
      <w:pPr>
        <w:numPr>
          <w:ilvl w:val="0"/>
          <w:numId w:val="2"/>
        </w:numPr>
      </w:pPr>
      <w:r>
        <w:t>housing standards which apply in your jurisdiction</w:t>
      </w:r>
    </w:p>
    <w:p>
      <w:pPr>
        <w:numPr>
          <w:ilvl w:val="0"/>
          <w:numId w:val="2"/>
        </w:numPr>
      </w:pPr>
      <w:r>
        <w:t>responsibilities around housing standards enforcement action</w:t>
      </w:r>
    </w:p>
    <w:p>
      <w:pPr>
        <w:numPr>
          <w:ilvl w:val="0"/>
          <w:numId w:val="2"/>
        </w:numPr>
      </w:pPr>
      <w:r>
        <w:t>how to take enforcement action in relation to:</w:t>
      </w:r>
    </w:p>
    <w:p>
      <w:pPr>
        <w:numPr>
          <w:ilvl w:val="0"/>
          <w:numId w:val="2"/>
        </w:numPr>
      </w:pPr>
      <w:r>
        <w:t>13.1 housing disrepair protocol and its application</w:t>
      </w:r>
    </w:p>
    <w:p>
      <w:pPr>
        <w:numPr>
          <w:ilvl w:val="0"/>
          <w:numId w:val="2"/>
        </w:numPr>
      </w:pPr>
      <w:r>
        <w:t>13.2 environmental protection</w:t>
      </w:r>
    </w:p>
    <w:p>
      <w:pPr>
        <w:numPr>
          <w:ilvl w:val="0"/>
          <w:numId w:val="2"/>
        </w:numPr>
      </w:pPr>
      <w:r>
        <w:t>13.3 health and safety regulation</w:t>
      </w:r>
    </w:p>
    <w:p>
      <w:pPr>
        <w:numPr>
          <w:ilvl w:val="0"/>
          <w:numId w:val="2"/>
        </w:numPr>
      </w:pPr>
      <w:r>
        <w:t>13.4 local authority regulatory framework</w:t>
      </w:r>
    </w:p>
    <w:p>
      <w:pPr>
        <w:numPr>
          <w:ilvl w:val="0"/>
          <w:numId w:val="2"/>
        </w:numPr>
      </w:pPr>
      <w:r>
        <w:t>the grants available for improvement and repair of properties</w:t>
      </w:r>
    </w:p>
    <w:p>
      <w:pPr>
        <w:numPr>
          <w:ilvl w:val="0"/>
          <w:numId w:val="2"/>
        </w:numPr>
      </w:pPr>
      <w:r>
        <w:t>key rents and service charges for different types of tenancies</w:t>
      </w:r>
    </w:p>
    <w:p>
      <w:pPr>
        <w:numPr>
          <w:ilvl w:val="0"/>
          <w:numId w:val="2"/>
        </w:numPr>
      </w:pPr>
      <w:r>
        <w:t>considerations in relation to statutory housing allocation, including:</w:t>
      </w:r>
    </w:p>
    <w:p>
      <w:pPr>
        <w:numPr>
          <w:ilvl w:val="0"/>
          <w:numId w:val="2"/>
        </w:numPr>
      </w:pPr>
      <w:r>
        <w:t>16.1 how to challenge decisions to exclude or suspend priority</w:t>
      </w:r>
    </w:p>
    <w:p>
      <w:pPr>
        <w:numPr>
          <w:ilvl w:val="0"/>
          <w:numId w:val="2"/>
        </w:numPr>
      </w:pPr>
      <w:r>
        <w:t>16.2 how to interpret relevant legislation and case law</w:t>
      </w:r>
    </w:p>
    <w:p>
      <w:pPr>
        <w:numPr>
          <w:ilvl w:val="0"/>
          <w:numId w:val="2"/>
        </w:numPr>
      </w:pPr>
      <w:r>
        <w:t>16.3 how to recognise where there are grounds for judicial review</w:t>
      </w:r>
    </w:p>
    <w:p>
      <w:pPr>
        <w:numPr>
          <w:ilvl w:val="0"/>
          <w:numId w:val="2"/>
        </w:numPr>
      </w:pPr>
      <w:r>
        <w:t>16.4 the use of ombudsman</w:t>
      </w:r>
    </w:p>
    <w:p>
      <w:pPr>
        <w:numPr>
          <w:ilvl w:val="0"/>
          <w:numId w:val="2"/>
        </w:numPr>
      </w:pPr>
      <w:r>
        <w:t>the procedural &amp; substantive defences to threatened eviction for</w:t>
      </w:r>
    </w:p>
    <w:p>
      <w:pPr>
        <w:numPr>
          <w:ilvl w:val="0"/>
          <w:numId w:val="2"/>
        </w:numPr>
      </w:pPr>
      <w:r>
        <w:t>mortgage repossession and possession proceedings involving tenants</w:t>
      </w:r>
    </w:p>
    <w:p>
      <w:pPr>
        <w:numPr>
          <w:ilvl w:val="0"/>
          <w:numId w:val="2"/>
        </w:numPr>
      </w:pPr>
      <w:r>
        <w:t>or other occupiers</w:t>
      </w:r>
    </w:p>
    <w:p>
      <w:pPr>
        <w:numPr>
          <w:ilvl w:val="0"/>
          <w:numId w:val="2"/>
        </w:numPr>
      </w:pPr>
      <w:r>
        <w:t>possession cases involving mortgage possession, public sector rent</w:t>
      </w:r>
    </w:p>
    <w:p>
      <w:pPr>
        <w:numPr>
          <w:ilvl w:val="0"/>
          <w:numId w:val="2"/>
        </w:numPr>
      </w:pPr>
      <w:r>
        <w:t>possession, private sector assured shorthold, tenants of mortgaged</w:t>
      </w:r>
    </w:p>
    <w:p>
      <w:pPr>
        <w:numPr>
          <w:ilvl w:val="0"/>
          <w:numId w:val="2"/>
        </w:numPr>
      </w:pPr>
      <w:r>
        <w:t>landlords, licences and others</w:t>
      </w:r>
    </w:p>
    <w:p>
      <w:pPr>
        <w:numPr>
          <w:ilvl w:val="0"/>
          <w:numId w:val="2"/>
        </w:numPr>
      </w:pPr>
      <w:r>
        <w:t>how to recognise valid notices and possible consequences</w:t>
      </w:r>
    </w:p>
    <w:p>
      <w:pPr>
        <w:numPr>
          <w:ilvl w:val="0"/>
          <w:numId w:val="2"/>
        </w:numPr>
      </w:pPr>
      <w:r>
        <w:t>mandatory and discretionary grounds for possession</w:t>
      </w:r>
    </w:p>
    <w:p>
      <w:pPr>
        <w:numPr>
          <w:ilvl w:val="0"/>
          <w:numId w:val="2"/>
        </w:numPr>
      </w:pPr>
      <w:r>
        <w:t>how to negotiate settlement priority to court action</w:t>
      </w:r>
    </w:p>
    <w:p>
      <w:pPr>
        <w:numPr>
          <w:ilvl w:val="0"/>
          <w:numId w:val="2"/>
        </w:numPr>
      </w:pPr>
      <w:r>
        <w:t>how to recognise notice, possession, orders and warrants and their</w:t>
      </w:r>
    </w:p>
    <w:p>
      <w:pPr>
        <w:numPr>
          <w:ilvl w:val="0"/>
          <w:numId w:val="2"/>
        </w:numPr>
      </w:pPr>
      <w:r>
        <w:t>implications for clients</w:t>
      </w:r>
    </w:p>
    <w:p>
      <w:pPr>
        <w:numPr>
          <w:ilvl w:val="0"/>
          <w:numId w:val="2"/>
        </w:numPr>
      </w:pPr>
      <w:r>
        <w:t>possession procedures for owner occupiers</w:t>
      </w:r>
    </w:p>
    <w:p>
      <w:pPr>
        <w:numPr>
          <w:ilvl w:val="0"/>
          <w:numId w:val="2"/>
        </w:numPr>
      </w:pPr>
      <w:r>
        <w:t>how to recognise when there are grounds for defence</w:t>
      </w:r>
    </w:p>
    <w:p>
      <w:pPr>
        <w:numPr>
          <w:ilvl w:val="0"/>
          <w:numId w:val="2"/>
        </w:numPr>
      </w:pPr>
      <w:r>
        <w:t>how to prepare defence forms</w:t>
      </w:r>
    </w:p>
    <w:p>
      <w:pPr>
        <w:numPr>
          <w:ilvl w:val="0"/>
          <w:numId w:val="2"/>
        </w:numPr>
      </w:pPr>
      <w:r>
        <w:t>the powers of courts within hearings about possession</w:t>
      </w:r>
    </w:p>
    <w:p>
      <w:pPr>
        <w:numPr>
          <w:ilvl w:val="0"/>
          <w:numId w:val="2"/>
        </w:numPr>
      </w:pPr>
      <w:r>
        <w:t>how to represent clients in court</w:t>
      </w:r>
    </w:p>
    <w:p>
      <w:pPr>
        <w:numPr>
          <w:ilvl w:val="0"/>
          <w:numId w:val="2"/>
        </w:numPr>
      </w:pPr>
      <w:r>
        <w:t>the consequences to security of tenure of breaching a suspended</w:t>
      </w:r>
    </w:p>
    <w:p>
      <w:pPr>
        <w:numPr>
          <w:ilvl w:val="0"/>
          <w:numId w:val="2"/>
        </w:numPr>
      </w:pPr>
      <w:r>
        <w:t>possession order</w:t>
      </w:r>
    </w:p>
    <w:p>
      <w:pPr>
        <w:numPr>
          <w:ilvl w:val="0"/>
          <w:numId w:val="2"/>
        </w:numPr>
      </w:pPr>
      <w:r>
        <w:t>the powers of the court in relation to possession</w:t>
      </w:r>
    </w:p>
    <w:p>
      <w:pPr>
        <w:numPr>
          <w:ilvl w:val="0"/>
          <w:numId w:val="2"/>
        </w:numPr>
      </w:pPr>
      <w:r>
        <w:t>accelerated possession procedure and its use</w:t>
      </w:r>
    </w:p>
    <w:p>
      <w:pPr>
        <w:numPr>
          <w:ilvl w:val="0"/>
          <w:numId w:val="2"/>
        </w:numPr>
      </w:pPr>
      <w:r>
        <w:t>time limits for appeals in relation to possession</w:t>
      </w:r>
    </w:p>
    <w:p>
      <w:pPr>
        <w:numPr>
          <w:ilvl w:val="0"/>
          <w:numId w:val="2"/>
        </w:numPr>
      </w:pPr>
      <w:r>
        <w:t>how to prepare defence forms and draft applications to suspend</w:t>
      </w:r>
    </w:p>
    <w:p>
      <w:pPr>
        <w:numPr>
          <w:ilvl w:val="0"/>
          <w:numId w:val="2"/>
        </w:numPr>
      </w:pPr>
      <w:r>
        <w:t>warrant of possession</w:t>
      </w:r>
    </w:p>
    <w:p>
      <w:pPr>
        <w:numPr>
          <w:ilvl w:val="0"/>
          <w:numId w:val="2"/>
        </w:numPr>
      </w:pPr>
      <w:r>
        <w:t>rights and entitlements in relation to eviction in different</w:t>
      </w:r>
    </w:p>
    <w:p>
      <w:pPr>
        <w:numPr>
          <w:ilvl w:val="0"/>
          <w:numId w:val="2"/>
        </w:numPr>
      </w:pPr>
      <w:r>
        <w:t>circumstances</w:t>
      </w:r>
    </w:p>
    <w:p>
      <w:pPr>
        <w:numPr>
          <w:ilvl w:val="0"/>
          <w:numId w:val="2"/>
        </w:numPr>
      </w:pPr>
      <w:r>
        <w:t>the role and responsibility of Social Services in relation to housing</w:t>
      </w:r>
    </w:p>
    <w:p>
      <w:pPr>
        <w:numPr>
          <w:ilvl w:val="0"/>
          <w:numId w:val="2"/>
        </w:numPr>
      </w:pPr>
      <w:r>
        <w:t>young</w:t>
      </w:r>
    </w:p>
    <w:p>
      <w:pPr>
        <w:numPr>
          <w:ilvl w:val="0"/>
          <w:numId w:val="2"/>
        </w:numPr>
      </w:pPr>
      <w:r>
        <w:t>people leaving care and homeless 16 and 17-year olds</w:t>
      </w:r>
    </w:p>
    <w:p>
      <w:pPr>
        <w:numPr>
          <w:ilvl w:val="0"/>
          <w:numId w:val="2"/>
        </w:numPr>
      </w:pPr>
      <w:r>
        <w:t>housing rights and entitlements in the event of relationship</w:t>
      </w:r>
    </w:p>
    <w:p>
      <w:pPr>
        <w:numPr>
          <w:ilvl w:val="0"/>
          <w:numId w:val="2"/>
        </w:numPr>
      </w:pPr>
      <w:r>
        <w:t>breakdown</w:t>
      </w:r>
    </w:p>
    <w:p>
      <w:pPr>
        <w:numPr>
          <w:ilvl w:val="0"/>
          <w:numId w:val="2"/>
        </w:numPr>
      </w:pPr>
      <w:r>
        <w:t>types of housing options including community care available for</w:t>
      </w:r>
    </w:p>
    <w:p>
      <w:pPr>
        <w:numPr>
          <w:ilvl w:val="0"/>
          <w:numId w:val="2"/>
        </w:numPr>
      </w:pPr>
      <w:r>
        <w:t>older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ib10</w:t>
      </w:r>
      <w:r>
        <w:rPr>
          <w:lang w:val="en-GB"/>
        </w:rPr>
        <w:br/>
      </w:r>
    </w:p>
    <w:p>
      <w:pPr/>
      <w:r>
        <w:rPr>
          <w:lang w:val="en-GB"/>
          <w:b/>
        </w:rPr>
        <w:t>Relevant Occupations</w:t>
      </w:r>
    </w:p>
    <w:p>
      <w:pPr/>
      <w:r>
        <w:rPr>
          <w:lang w:val="en-GB"/>
        </w:rPr>
        <w:t>Legal Advisers, Legal Associate Professionals</w:t>
      </w:r>
      <w:r>
        <w:rPr>
          <w:lang w:val="en-GB"/>
        </w:rPr>
        <w:br/>
      </w:r>
    </w:p>
    <w:p>
      <w:pPr/>
      <w:r>
        <w:rPr>
          <w:lang w:val="en-GB"/>
          <w:b/>
        </w:rPr>
        <w:t>Suite</w:t>
      </w:r>
    </w:p>
    <w:p>
      <w:pPr/>
      <w:r>
        <w:rPr>
          <w:lang w:val="en-GB"/>
        </w:rPr>
        <w:t>Legal Advice</w:t>
      </w:r>
      <w:r>
        <w:rPr>
          <w:lang w:val="en-GB"/>
        </w:rPr>
        <w:br/>
      </w:r>
    </w:p>
    <w:p>
      <w:pPr/>
      <w:r>
        <w:rPr>
          <w:lang w:val="en-GB"/>
          <w:b/>
        </w:rPr>
        <w:t>Keywords</w:t>
      </w:r>
    </w:p>
    <w:p>
      <w:pPr/>
      <w:r>
        <w:rPr>
          <w:lang w:val="en-GB"/>
        </w:rPr>
        <w:t>Housing issues; Complex areas of the law; Present cases in court; Accommodation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E2B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8734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b3788b3b284f1a" /><Relationship Type="http://schemas.openxmlformats.org/officeDocument/2006/relationships/numbering" Target="/word/numbering.xml" Id="R618b471d42d34b27" /><Relationship Type="http://schemas.openxmlformats.org/officeDocument/2006/relationships/settings" Target="/word/settings.xml" Id="Re6d7bd008f1e432a" /><Relationship Type="http://schemas.openxmlformats.org/officeDocument/2006/relationships/image" Target="/word/media/7f7a092f-97f5-4936-b7e4-a14d781ef862.png" Id="R08b23487805c47f2" /></Relationships>
</file>