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1da577b9b54b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SFJCP1</w:t>
            </w:r>
            <w:r>
              <w:rPr>
                <w:b/>
              </w:rPr>
              <w:br/>
            </w:r>
            <w:r>
              <w:rPr>
                <w:b/>
              </w:rPr>
              <w:t>Manage court programmes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bf83e37aeb43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individuals who manage the operations of an effective court programme.  This role involves the drafting, scheduling, reviewing and adapting of the court programme.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will apply to courts and tribunals of varying sizes and a wide range of resources and business needs.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term “programme” is sometimes referred to as “a court list” or “schedule” and is sometimes used in the context of (a) assigning diets or cases within court types in a structured programme or (b) the weekly/daily operational management of the programme (i.e. allocating judicial resources/courtrooms/staff, fixing ad hoc business, transferral of cases between courts etc).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maintain your knowledge and competence in relation to the operational management of court programmes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source and analyse data to inform the scheduling of court programming activities, to include:</w:t>
      </w:r>
    </w:p>
    <w:p>
      <w:pPr/>
      <w:r>
        <w:rPr>
          <w:lang w:val="en-GB"/>
        </w:rPr>
        <w:t>2.1 the capacity the programme has to deal with</w:t>
      </w:r>
    </w:p>
    <w:p>
      <w:pPr/>
      <w:r>
        <w:rPr>
          <w:lang w:val="en-GB"/>
        </w:rPr>
        <w:t>2.2 the frequency of types of court required</w:t>
      </w:r>
    </w:p>
    <w:p>
      <w:pPr/>
      <w:r>
        <w:rPr>
          <w:lang w:val="en-GB"/>
        </w:rPr>
        <w:t>2.3 the limits of the programme within constraints imposed</w:t>
      </w:r>
    </w:p>
    <w:p>
      <w:pPr/>
      <w:r>
        <w:rPr>
          <w:lang w:val="en-GB"/>
        </w:rPr>
        <w:t>2.4 the resources available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review and develop local statistics to enhance programming effectiveness and for programme review purposes in line with organisational requirements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determine the required frequencies of types of court in line with organisational requirements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determine whether it is feasible to programme different types of court at different times and locations on the same day in line with organisational requirements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and develop court programmes in line with organisational requirements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liaise with colleagues and stakeholders to identify court requirements in line with organisational requirements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availability of judicial resources and stakeholders in line with organisational requirements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allocate judicial resources in line with organisational requirements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revise court programmes in line with organisational requirements to: </w:t>
      </w:r>
    </w:p>
    <w:p>
      <w:pPr/>
      <w:r>
        <w:rPr>
          <w:lang w:val="en-GB"/>
        </w:rPr>
        <w:t>10.1 meet business targets</w:t>
      </w:r>
    </w:p>
    <w:p>
      <w:pPr/>
      <w:r>
        <w:rPr>
          <w:lang w:val="en-GB"/>
        </w:rPr>
        <w:t>10.2 determine if efficiencies can be made to reduce delays in the processing of court business</w:t>
      </w:r>
    </w:p>
    <w:p>
      <w:pPr/>
      <w:r>
        <w:rPr>
          <w:lang w:val="en-GB"/>
        </w:rPr>
        <w:t xml:space="preserve">10.3 monitor performance and identify areas for business improvement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10.4 include any ad hoc business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seek approval of court programmes in line with organisational requirements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keep information secure in line with organisational and legislative requirements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communicate court programmes to colleagues and stakeholders and implement them in line with organisational requirements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respond to any queries about court programmes in line with organisational requirements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measure the effectiveness of court programmes in line with organisational requirements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seek feedback on the effectiveness of court programmes in line with organisational requirements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provide information about the effectiveness of court programmes to colleagues and stakeholders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role, responsibilities and competence, and who to seek assistance and advice from when necessary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legislation, guidance and organisational procedures relevant to the job role.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organisational requirements and procedures relating to the management of court programmes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data and information to be collected and analysed to inform court programming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maintaining confidentiality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procedures for approval of court programmes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who to inform of court programme changes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range of courts/tribunals within your responsibility and the procedures within them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range of resources in courts and tribunals within your responsibility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roles and responsibilities of court and tribunal users within your responsibility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availability and standards of associated accommodation and equipment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local or national agreed operating protocol on loadings for specific types of business and how this affects court programmes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availability of stakeholders in complex or lengthy cases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targets that impact on court programmes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impact of a superior court seeking accommodation within your facilities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need for Specialist Courts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time constrained cases and ad hoc business requirements</w:t>
      </w:r>
    </w:p>
    <w:p>
      <w:pPr/>
      <w:r>
        <w:rPr>
          <w:lang w:val="en-GB"/>
        </w:rPr>
        <w:t>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holiday custody court requirements</w:t>
      </w:r>
    </w:p>
    <w:p>
      <w:pPr/>
      <w:r>
        <w:rPr>
          <w:lang w:val="en-GB"/>
        </w:rPr>
        <w:t>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alternative approaches in court programming and how to rearrange courts</w:t>
      </w:r>
    </w:p>
    <w:p>
      <w:pPr/>
      <w:r>
        <w:rPr>
          <w:lang w:val="en-GB"/>
        </w:rPr>
        <w:t>20.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court programming guidance and implementing change effectively</w:t>
      </w:r>
    </w:p>
    <w:p>
      <w:pPr/>
      <w:r>
        <w:rPr>
          <w:lang w:val="en-GB"/>
        </w:rPr>
        <w:t>21.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protocols and the remits for court user groups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CP1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Courts Manager, Sheriff Clerk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Court programming, statistical data, court rooms, court cases.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f7e9f6c3e547bd" /><Relationship Type="http://schemas.openxmlformats.org/officeDocument/2006/relationships/numbering" Target="/word/numbering.xml" Id="R3816f0a96ad84f5f" /><Relationship Type="http://schemas.openxmlformats.org/officeDocument/2006/relationships/settings" Target="/word/settings.xml" Id="Rc216eee595704be6" /><Relationship Type="http://schemas.openxmlformats.org/officeDocument/2006/relationships/image" Target="/word/media/5b363df0-7130-4b98-b216-3304b2a57187.png" Id="R0abf83e37aeb4309" /></Relationships>
</file>