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9b3dd2c8c44f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SKAATS1</w:t>
            </w:r>
            <w:r>
              <w:rPr>
                <w:b/>
              </w:rPr>
              <w:br/>
            </w:r>
            <w:r>
              <w:rPr>
                <w:b/>
              </w:rPr>
              <w:t xml:space="preserve">Carry Out Expanded Trichological Investigations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1c915903a5446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with and should be used in conjunction alongside, </w:t>
      </w:r>
    </w:p>
    <w:p>
      <w:pPr/>
      <w:r>
        <w:rPr>
          <w:lang w:val="en-GB"/>
        </w:rPr>
        <w:t>SKAHDBRBNST1 Implement and maintain safe, hygienic and effective working practices</w:t>
      </w:r>
    </w:p>
    <w:p>
      <w:pPr/>
      <w:r>
        <w:rPr>
          <w:lang w:val="en-GB"/>
        </w:rPr>
        <w:t xml:space="preserve"> and </w:t>
      </w:r>
    </w:p>
    <w:p>
      <w:pPr/>
      <w:r>
        <w:rPr>
          <w:lang w:val="en-GB"/>
        </w:rPr>
        <w:t>SKATCS1 Carry out a trichological consultation service</w:t>
      </w:r>
    </w:p>
    <w:p>
      <w:pPr/>
      <w:r>
        <w:rPr>
          <w:lang w:val="en-GB"/>
        </w:rPr>
        <w:t>. This standard is for practitioners and trichologists providing a trichological service who wish to expand their consultation with further investigation to critically analyse, evaluate, determine and manage scalp and hair conditions. Practitioners must work within their scope of practice and limits of their authority and refer individuals to relevant healthcare professionals when necessary. Users of this standard will need to have the relevant underpinning knowledge to understand the aetiology and pathophysiology of the trichological conditions which they observe. Users of this standard must ensure that their practices reflect up-to-date information, evidence, policies, procedures and best practice guidance for practice appropriate to these procedures, and where the evidence base is limited or anecdotal this must be made clear to the individual seeking your services. You will also be required to evaluate and reflect upon your practice and take steps to evidence continuous development.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1.</w:t>
      </w:r>
    </w:p>
    <w:p>
      <w:pPr/>
      <w:r>
        <w:rPr>
          <w:lang w:val="en-GB"/>
        </w:rPr>
        <w:t xml:space="preserve">‍ </w:t>
      </w:r>
    </w:p>
    <w:p>
      <w:pPr/>
      <w:r>
        <w:rPr>
          <w:lang w:val="en-GB"/>
        </w:rPr>
        <w:t xml:space="preserve">follow legal requirements and other relevant standards, insurance guidelines and, organisational protocols when carrying out </w:t>
      </w:r>
    </w:p>
    <w:p>
      <w:pPr/>
      <w:r>
        <w:rPr>
          <w:lang w:val="en-GB"/>
        </w:rPr>
        <w:t>trichological investigations </w:t>
      </w:r>
    </w:p>
    <w:p>
      <w:pPr/>
      <w:r>
        <w:rPr>
          <w:lang w:val="en-GB"/>
        </w:rPr>
        <w:t>*</w:t>
      </w:r>
    </w:p>
    <w:p>
      <w:pPr/>
      <w:r>
        <w:rPr>
          <w:lang w:val="en-GB"/>
        </w:rPr>
        <w:t>2.</w:t>
      </w:r>
    </w:p>
    <w:p>
      <w:pPr/>
      <w:r>
        <w:rPr>
          <w:lang w:val="en-GB"/>
        </w:rPr>
        <w:t xml:space="preserve">‍ </w:t>
      </w:r>
    </w:p>
    <w:p>
      <w:pPr/>
      <w:r>
        <w:rPr>
          <w:lang w:val="en-GB"/>
        </w:rPr>
        <w:t>maintain your responsibilities for the health, safety, hygiene and welfare of the individual and yourself before, during and after the *</w:t>
      </w:r>
    </w:p>
    <w:p>
      <w:pPr/>
      <w:r>
        <w:rPr>
          <w:lang w:val="en-GB"/>
        </w:rPr>
        <w:t>trichological investigations</w:t>
      </w:r>
    </w:p>
    <w:p>
      <w:pPr/>
      <w:r>
        <w:rPr>
          <w:lang w:val="en-GB"/>
        </w:rPr>
        <w:t>3.</w:t>
      </w:r>
    </w:p>
    <w:p>
      <w:pPr/>
      <w:r>
        <w:rPr>
          <w:lang w:val="en-GB"/>
        </w:rPr>
        <w:t xml:space="preserve">‍ </w:t>
      </w:r>
    </w:p>
    <w:p>
      <w:pPr/>
      <w:r>
        <w:rPr>
          <w:lang w:val="en-GB"/>
        </w:rPr>
        <w:t xml:space="preserve">follow a concise and comprehensive trichological consultation and interpret the additional </w:t>
      </w:r>
    </w:p>
    <w:p>
      <w:pPr/>
      <w:r>
        <w:rPr>
          <w:lang w:val="en-GB"/>
        </w:rPr>
        <w:t>trichological investigations</w:t>
      </w:r>
    </w:p>
    <w:p>
      <w:pPr/>
      <w:r>
        <w:rPr>
          <w:lang w:val="en-GB"/>
        </w:rPr>
        <w:t xml:space="preserve"> necessary </w:t>
      </w:r>
    </w:p>
    <w:p>
      <w:pPr/>
      <w:r>
        <w:rPr>
          <w:lang w:val="en-GB"/>
        </w:rPr>
        <w:br/>
      </w:r>
    </w:p>
    <w:p>
      <w:pPr/>
      <w:r>
        <w:rPr>
          <w:lang w:val="en-GB"/>
        </w:rPr>
        <w:t>4.</w:t>
      </w:r>
    </w:p>
    <w:p>
      <w:pPr/>
      <w:r>
        <w:rPr>
          <w:lang w:val="en-GB"/>
        </w:rPr>
        <w:t xml:space="preserve">‍ </w:t>
      </w:r>
    </w:p>
    <w:p>
      <w:pPr/>
      <w:r>
        <w:rPr>
          <w:lang w:val="en-GB"/>
        </w:rPr>
        <w:t xml:space="preserve">discuss and provide the rationale for the proposed </w:t>
      </w:r>
    </w:p>
    <w:p>
      <w:pPr/>
      <w:r>
        <w:rPr>
          <w:lang w:val="en-GB"/>
        </w:rPr>
        <w:t>trichological investigations</w:t>
      </w:r>
    </w:p>
    <w:p>
      <w:pPr/>
      <w:r>
        <w:rPr>
          <w:lang w:val="en-GB"/>
        </w:rPr>
        <w:t xml:space="preserve"> and the protocols for undertaking them.</w:t>
      </w:r>
    </w:p>
    <w:p>
      <w:pPr/>
      <w:r>
        <w:rPr>
          <w:lang w:val="en-GB"/>
        </w:rPr>
        <w:t>5.</w:t>
      </w:r>
    </w:p>
    <w:p>
      <w:pPr/>
      <w:r>
        <w:rPr>
          <w:lang w:val="en-GB"/>
        </w:rPr>
        <w:t xml:space="preserve">‍ </w:t>
      </w:r>
    </w:p>
    <w:p>
      <w:pPr/>
      <w:r>
        <w:rPr>
          <w:lang w:val="en-GB"/>
        </w:rPr>
        <w:t>ensure the individual’s understanding  and obtain informed consent for the proposed investigative procedures</w:t>
      </w:r>
    </w:p>
    <w:p>
      <w:pPr/>
      <w:r>
        <w:rPr>
          <w:lang w:val="en-GB"/>
        </w:rPr>
        <w:t>6.</w:t>
      </w:r>
    </w:p>
    <w:p>
      <w:pPr/>
      <w:r>
        <w:rPr>
          <w:lang w:val="en-GB"/>
        </w:rPr>
        <w:t xml:space="preserve">‍ </w:t>
      </w:r>
    </w:p>
    <w:p>
      <w:pPr/>
      <w:r>
        <w:rPr>
          <w:lang w:val="en-GB"/>
        </w:rPr>
        <w:t xml:space="preserve">carry out, or facilitate the </w:t>
      </w:r>
    </w:p>
    <w:p>
      <w:pPr/>
      <w:r>
        <w:rPr>
          <w:lang w:val="en-GB"/>
        </w:rPr>
        <w:t>trichological investigations</w:t>
      </w:r>
    </w:p>
    <w:p>
      <w:pPr/>
      <w:r>
        <w:rPr>
          <w:lang w:val="en-GB"/>
        </w:rPr>
        <w:t xml:space="preserve"> to determine, review and monitor the presenting trichological condition, following organisational protocols </w:t>
      </w:r>
    </w:p>
    <w:p>
      <w:pPr/>
      <w:r>
        <w:rPr>
          <w:lang w:val="en-GB"/>
        </w:rPr>
        <w:t>7.</w:t>
      </w:r>
    </w:p>
    <w:p>
      <w:pPr/>
      <w:r>
        <w:rPr>
          <w:lang w:val="en-GB"/>
        </w:rPr>
        <w:t xml:space="preserve">‍ </w:t>
      </w:r>
    </w:p>
    <w:p>
      <w:pPr/>
      <w:r>
        <w:rPr>
          <w:lang w:val="en-GB"/>
        </w:rPr>
        <w:t>gain consent, record and securely store visual media for future reference and monitoring purposes in accordance with legislative, regulatory and indemnity requirements</w:t>
      </w:r>
    </w:p>
    <w:p>
      <w:pPr/>
      <w:r>
        <w:rPr>
          <w:lang w:val="en-GB"/>
        </w:rPr>
        <w:t>8.</w:t>
      </w:r>
    </w:p>
    <w:p>
      <w:pPr/>
      <w:r>
        <w:rPr>
          <w:lang w:val="en-GB"/>
        </w:rPr>
        <w:t xml:space="preserve">‍ </w:t>
      </w:r>
    </w:p>
    <w:p>
      <w:pPr/>
      <w:r>
        <w:rPr>
          <w:lang w:val="en-GB"/>
        </w:rPr>
        <w:t xml:space="preserve">evaluate the presenting trichological condition against known </w:t>
      </w:r>
    </w:p>
    <w:p>
      <w:pPr/>
      <w:r>
        <w:rPr>
          <w:lang w:val="en-GB"/>
        </w:rPr>
        <w:t>classification scales </w:t>
      </w:r>
    </w:p>
    <w:p>
      <w:pPr/>
      <w:r>
        <w:rPr>
          <w:lang w:val="en-GB"/>
        </w:rPr>
        <w:t>*</w:t>
      </w:r>
    </w:p>
    <w:p>
      <w:pPr/>
      <w:r>
        <w:rPr>
          <w:lang w:val="en-GB"/>
        </w:rPr>
        <w:t>9.</w:t>
      </w:r>
    </w:p>
    <w:p>
      <w:pPr/>
      <w:r>
        <w:rPr>
          <w:lang w:val="en-GB"/>
        </w:rPr>
        <w:t xml:space="preserve">‍ </w:t>
      </w:r>
    </w:p>
    <w:p>
      <w:pPr/>
      <w:r>
        <w:rPr>
          <w:lang w:val="en-GB"/>
        </w:rPr>
        <w:t>collate, critically analyse, evaluate and interpret the information gathered from the trichological consultation, the *</w:t>
      </w:r>
    </w:p>
    <w:p>
      <w:pPr/>
      <w:r>
        <w:rPr>
          <w:lang w:val="en-GB"/>
        </w:rPr>
        <w:t>trichological investigations</w:t>
      </w:r>
    </w:p>
    <w:p>
      <w:pPr/>
      <w:r>
        <w:rPr>
          <w:lang w:val="en-GB"/>
        </w:rPr>
        <w:t xml:space="preserve"> and available evidence base relating to the presenting trichological condition to inform the management plan</w:t>
      </w:r>
    </w:p>
    <w:p>
      <w:pPr/>
      <w:r>
        <w:rPr>
          <w:lang w:val="en-GB"/>
        </w:rPr>
        <w:t>10.</w:t>
      </w:r>
    </w:p>
    <w:p>
      <w:pPr/>
      <w:r>
        <w:rPr>
          <w:lang w:val="en-GB"/>
        </w:rPr>
        <w:t xml:space="preserve">‍ </w:t>
      </w:r>
    </w:p>
    <w:p>
      <w:pPr/>
      <w:r>
        <w:rPr>
          <w:lang w:val="en-GB"/>
        </w:rPr>
        <w:t xml:space="preserve">discuss, formulate and agree with the individual their management plan based on the conclusion of the </w:t>
      </w:r>
    </w:p>
    <w:p>
      <w:pPr/>
      <w:r>
        <w:rPr>
          <w:lang w:val="en-GB"/>
        </w:rPr>
        <w:t>trichological investigations</w:t>
      </w:r>
    </w:p>
    <w:p>
      <w:pPr/>
      <w:r>
        <w:rPr>
          <w:lang w:val="en-GB"/>
        </w:rPr>
        <w:t xml:space="preserve"> to include: </w:t>
      </w:r>
    </w:p>
    <w:p>
      <w:pPr/>
      <w:r>
        <w:rPr>
          <w:lang w:val="en-GB"/>
        </w:rPr>
        <w:t>10.1.</w:t>
      </w:r>
    </w:p>
    <w:p>
      <w:pPr/>
      <w:r>
        <w:rPr>
          <w:lang w:val="en-GB"/>
        </w:rPr>
        <w:t xml:space="preserve">‍ </w:t>
      </w:r>
    </w:p>
    <w:p>
      <w:pPr/>
      <w:r>
        <w:rPr>
          <w:lang w:val="en-GB"/>
        </w:rPr>
        <w:t>critical evaluation of the evidence base</w:t>
      </w:r>
    </w:p>
    <w:p>
      <w:pPr/>
      <w:r>
        <w:rPr>
          <w:lang w:val="en-GB"/>
        </w:rPr>
        <w:t>10.2.</w:t>
      </w:r>
    </w:p>
    <w:p>
      <w:pPr/>
      <w:r>
        <w:rPr>
          <w:lang w:val="en-GB"/>
        </w:rPr>
        <w:t xml:space="preserve">‍ </w:t>
      </w:r>
    </w:p>
    <w:p>
      <w:pPr/>
      <w:r>
        <w:rPr>
          <w:lang w:val="en-GB"/>
        </w:rPr>
        <w:t>impact on the prognosis and alterations required to the management plan</w:t>
      </w:r>
    </w:p>
    <w:p>
      <w:pPr/>
      <w:r>
        <w:rPr>
          <w:lang w:val="en-GB"/>
        </w:rPr>
        <w:t>10.3.</w:t>
      </w:r>
    </w:p>
    <w:p>
      <w:pPr/>
      <w:r>
        <w:rPr>
          <w:lang w:val="en-GB"/>
        </w:rPr>
        <w:t xml:space="preserve">‍ </w:t>
      </w:r>
    </w:p>
    <w:p>
      <w:pPr/>
      <w:r>
        <w:rPr>
          <w:lang w:val="en-GB"/>
        </w:rPr>
        <w:t>the best interests of the individual and your ethical responsibilities</w:t>
      </w:r>
    </w:p>
    <w:p>
      <w:pPr/>
      <w:r>
        <w:rPr>
          <w:lang w:val="en-GB"/>
        </w:rPr>
        <w:t>10.4.</w:t>
      </w:r>
    </w:p>
    <w:p>
      <w:pPr/>
      <w:r>
        <w:rPr>
          <w:lang w:val="en-GB"/>
        </w:rPr>
        <w:t xml:space="preserve">‍ </w:t>
      </w:r>
    </w:p>
    <w:p>
      <w:pPr/>
      <w:r>
        <w:rPr>
          <w:lang w:val="en-GB"/>
        </w:rPr>
        <w:t>working within your scope of practice</w:t>
      </w:r>
    </w:p>
    <w:p>
      <w:pPr/>
      <w:r>
        <w:rPr>
          <w:lang w:val="en-GB"/>
        </w:rPr>
        <w:t>10.5.</w:t>
      </w:r>
    </w:p>
    <w:p>
      <w:pPr/>
      <w:r>
        <w:rPr>
          <w:lang w:val="en-GB"/>
        </w:rPr>
        <w:t xml:space="preserve">‍ </w:t>
      </w:r>
    </w:p>
    <w:p>
      <w:pPr/>
      <w:r>
        <w:rPr>
          <w:lang w:val="en-GB"/>
        </w:rPr>
        <w:t>adapting communication styles to meet the individuals needs</w:t>
      </w:r>
    </w:p>
    <w:p>
      <w:pPr/>
      <w:r>
        <w:rPr>
          <w:lang w:val="en-GB"/>
        </w:rPr>
        <w:t>10.6.</w:t>
      </w:r>
    </w:p>
    <w:p>
      <w:pPr/>
      <w:r>
        <w:rPr>
          <w:lang w:val="en-GB"/>
        </w:rPr>
        <w:t xml:space="preserve">‍ </w:t>
      </w:r>
    </w:p>
    <w:p>
      <w:pPr/>
      <w:r>
        <w:rPr>
          <w:lang w:val="en-GB"/>
        </w:rPr>
        <w:t>contraindications and potential comorbidities </w:t>
      </w:r>
    </w:p>
    <w:p>
      <w:pPr/>
      <w:r>
        <w:rPr>
          <w:lang w:val="en-GB"/>
        </w:rPr>
        <w:t>11.</w:t>
      </w:r>
    </w:p>
    <w:p>
      <w:pPr/>
      <w:r>
        <w:rPr>
          <w:lang w:val="en-GB"/>
        </w:rPr>
        <w:t xml:space="preserve">‍ </w:t>
      </w:r>
    </w:p>
    <w:p>
      <w:pPr/>
      <w:r>
        <w:rPr>
          <w:lang w:val="en-GB"/>
        </w:rPr>
        <w:t xml:space="preserve">refer to other professionals where indicated by the outcome of the </w:t>
      </w:r>
    </w:p>
    <w:p>
      <w:pPr/>
      <w:r>
        <w:rPr>
          <w:lang w:val="en-GB"/>
        </w:rPr>
        <w:t>trichological investigations </w:t>
      </w:r>
    </w:p>
    <w:p>
      <w:pPr/>
      <w:r>
        <w:rPr>
          <w:lang w:val="en-GB"/>
        </w:rPr>
        <w:t>*</w:t>
      </w:r>
    </w:p>
    <w:p>
      <w:pPr/>
      <w:r>
        <w:rPr>
          <w:lang w:val="en-GB"/>
        </w:rPr>
        <w:t>12.</w:t>
      </w:r>
    </w:p>
    <w:p>
      <w:pPr/>
      <w:r>
        <w:rPr>
          <w:lang w:val="en-GB"/>
        </w:rPr>
        <w:t xml:space="preserve">‍ </w:t>
      </w:r>
    </w:p>
    <w:p>
      <w:pPr/>
      <w:r>
        <w:rPr>
          <w:lang w:val="en-GB"/>
        </w:rPr>
        <w:t>record the information gathered and the outcomes of the *</w:t>
      </w:r>
    </w:p>
    <w:p>
      <w:pPr/>
      <w:r>
        <w:rPr>
          <w:lang w:val="en-GB"/>
        </w:rPr>
        <w:t>trichological investigations</w:t>
      </w:r>
    </w:p>
    <w:p>
      <w:pPr/>
      <w:r>
        <w:rPr>
          <w:lang w:val="en-GB"/>
        </w:rPr>
        <w:t xml:space="preserve"> to meet legal requirements and organisational protocols</w:t>
      </w:r>
    </w:p>
    <w:p>
      <w:pPr/>
      <w:r>
        <w:rPr>
          <w:lang w:val="en-GB"/>
        </w:rPr>
        <w:t>13.</w:t>
      </w:r>
    </w:p>
    <w:p>
      <w:pPr/>
      <w:r>
        <w:rPr>
          <w:lang w:val="en-GB"/>
        </w:rPr>
        <w:t xml:space="preserve">‍ </w:t>
      </w:r>
    </w:p>
    <w:p>
      <w:pPr/>
      <w:r>
        <w:rPr>
          <w:lang w:val="en-GB"/>
        </w:rPr>
        <w:t xml:space="preserve">review and reflect on your performance to inform continuous professional development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1.</w:t>
      </w:r>
    </w:p>
    <w:p>
      <w:pPr/>
      <w:r>
        <w:rPr>
          <w:lang w:val="en-GB"/>
        </w:rPr>
        <w:t xml:space="preserve">‍ </w:t>
      </w:r>
    </w:p>
    <w:p>
      <w:pPr/>
      <w:r>
        <w:rPr>
          <w:lang w:val="en-GB"/>
        </w:rPr>
        <w:t xml:space="preserve">the legal requirements and other relevant standards, insurance guidelines and, organisational protocols when carrying out </w:t>
      </w:r>
    </w:p>
    <w:p>
      <w:pPr/>
      <w:r>
        <w:rPr>
          <w:lang w:val="en-GB"/>
        </w:rPr>
        <w:t>trichological investigations</w:t>
      </w:r>
    </w:p>
    <w:p>
      <w:pPr/>
      <w:r>
        <w:rPr>
          <w:lang w:val="en-GB"/>
        </w:rPr>
        <w:t>2.</w:t>
      </w:r>
    </w:p>
    <w:p>
      <w:pPr/>
      <w:r>
        <w:rPr>
          <w:lang w:val="en-GB"/>
        </w:rPr>
        <w:t xml:space="preserve">‍ </w:t>
      </w:r>
    </w:p>
    <w:p>
      <w:pPr/>
      <w:r>
        <w:rPr>
          <w:lang w:val="en-GB"/>
        </w:rPr>
        <w:t xml:space="preserve">how to maintain your role and responsibilities for the health, safety and welfare of the individual and yourself before, during and after the </w:t>
      </w:r>
    </w:p>
    <w:p>
      <w:pPr/>
      <w:r>
        <w:rPr>
          <w:lang w:val="en-GB"/>
        </w:rPr>
        <w:t>trichological investigations</w:t>
      </w:r>
    </w:p>
    <w:p>
      <w:pPr/>
      <w:r>
        <w:rPr>
          <w:lang w:val="en-GB"/>
        </w:rPr>
        <w:t xml:space="preserve"> and the importance of working within the scope of your practice</w:t>
      </w:r>
    </w:p>
    <w:p>
      <w:pPr/>
      <w:r>
        <w:rPr>
          <w:lang w:val="en-GB"/>
        </w:rPr>
        <w:t>3.</w:t>
      </w:r>
    </w:p>
    <w:p>
      <w:pPr/>
      <w:r>
        <w:rPr>
          <w:lang w:val="en-GB"/>
        </w:rPr>
        <w:t xml:space="preserve">‍ </w:t>
      </w:r>
    </w:p>
    <w:p>
      <w:pPr/>
      <w:r>
        <w:rPr>
          <w:lang w:val="en-GB"/>
        </w:rPr>
        <w:t xml:space="preserve">the trichological consultation factors that inform the range of </w:t>
      </w:r>
    </w:p>
    <w:p>
      <w:pPr/>
      <w:r>
        <w:rPr>
          <w:lang w:val="en-GB"/>
        </w:rPr>
        <w:t>trichological investigations</w:t>
      </w:r>
    </w:p>
    <w:p>
      <w:pPr/>
      <w:r>
        <w:rPr>
          <w:lang w:val="en-GB"/>
        </w:rPr>
        <w:t xml:space="preserve"> and how to interpret them</w:t>
      </w:r>
    </w:p>
    <w:p>
      <w:pPr/>
      <w:r>
        <w:rPr>
          <w:lang w:val="en-GB"/>
        </w:rPr>
        <w:t>4.</w:t>
      </w:r>
    </w:p>
    <w:p>
      <w:pPr/>
      <w:r>
        <w:rPr>
          <w:lang w:val="en-GB"/>
        </w:rPr>
        <w:t xml:space="preserve">‍ </w:t>
      </w:r>
    </w:p>
    <w:p>
      <w:pPr/>
      <w:r>
        <w:rPr>
          <w:lang w:val="en-GB"/>
        </w:rPr>
        <w:t xml:space="preserve">the rationale for the proposed </w:t>
      </w:r>
    </w:p>
    <w:p>
      <w:pPr/>
      <w:r>
        <w:rPr>
          <w:lang w:val="en-GB"/>
        </w:rPr>
        <w:t>trichological investigations</w:t>
      </w:r>
    </w:p>
    <w:p>
      <w:pPr/>
      <w:r>
        <w:rPr>
          <w:lang w:val="en-GB"/>
        </w:rPr>
        <w:t>, expected findings in different trichological conditions and the role of evidence based practice</w:t>
      </w:r>
    </w:p>
    <w:p>
      <w:pPr/>
      <w:r>
        <w:rPr>
          <w:lang w:val="en-GB"/>
        </w:rPr>
        <w:t>5.</w:t>
      </w:r>
    </w:p>
    <w:p>
      <w:pPr/>
      <w:r>
        <w:rPr>
          <w:lang w:val="en-GB"/>
        </w:rPr>
        <w:t xml:space="preserve">‍ </w:t>
      </w:r>
    </w:p>
    <w:p>
      <w:pPr/>
      <w:r>
        <w:rPr>
          <w:lang w:val="en-GB"/>
        </w:rPr>
        <w:t xml:space="preserve">the investigative procedures used in trichological consultation services and how to carry them out to determine, review and monitor the presenting trichological condition, following industry and organisational protocols </w:t>
      </w:r>
    </w:p>
    <w:p>
      <w:pPr/>
      <w:r>
        <w:rPr>
          <w:lang w:val="en-GB"/>
        </w:rPr>
        <w:br/>
      </w:r>
    </w:p>
    <w:p>
      <w:pPr/>
      <w:r>
        <w:rPr>
          <w:lang w:val="en-GB"/>
        </w:rPr>
        <w:t>6.</w:t>
      </w:r>
    </w:p>
    <w:p>
      <w:pPr/>
      <w:r>
        <w:rPr>
          <w:lang w:val="en-GB"/>
        </w:rPr>
        <w:t xml:space="preserve">‍ </w:t>
      </w:r>
    </w:p>
    <w:p>
      <w:pPr/>
      <w:r>
        <w:rPr>
          <w:lang w:val="en-GB"/>
        </w:rPr>
        <w:t xml:space="preserve">the importance and requirements of gaining informed consent </w:t>
      </w:r>
    </w:p>
    <w:p>
      <w:pPr/>
      <w:r>
        <w:rPr>
          <w:lang w:val="en-GB"/>
        </w:rPr>
        <w:br/>
      </w:r>
    </w:p>
    <w:p>
      <w:pPr/>
      <w:r>
        <w:rPr>
          <w:lang w:val="en-GB"/>
        </w:rPr>
        <w:t>7.</w:t>
      </w:r>
    </w:p>
    <w:p>
      <w:pPr/>
      <w:r>
        <w:rPr>
          <w:lang w:val="en-GB"/>
        </w:rPr>
        <w:t xml:space="preserve">‍ </w:t>
      </w:r>
    </w:p>
    <w:p>
      <w:pPr/>
      <w:r>
        <w:rPr>
          <w:lang w:val="en-GB"/>
        </w:rPr>
        <w:t>how to gain consent, record and securely store visual media of the individual's treatment area in accordance with legislative, regulatory and indemnity requirements </w:t>
      </w:r>
    </w:p>
    <w:p>
      <w:pPr/>
      <w:r>
        <w:rPr>
          <w:lang w:val="en-GB"/>
        </w:rPr>
        <w:t>8.</w:t>
      </w:r>
    </w:p>
    <w:p>
      <w:pPr/>
      <w:r>
        <w:rPr>
          <w:lang w:val="en-GB"/>
        </w:rPr>
        <w:t xml:space="preserve">‍ </w:t>
      </w:r>
    </w:p>
    <w:p>
      <w:pPr/>
      <w:r>
        <w:rPr>
          <w:lang w:val="en-GB"/>
        </w:rPr>
        <w:t xml:space="preserve">how to interpret the results of the trichological investigations and evaluate the features and severity of presenting trichological conditions in relation to known </w:t>
      </w:r>
    </w:p>
    <w:p>
      <w:pPr/>
      <w:r>
        <w:rPr>
          <w:lang w:val="en-GB"/>
        </w:rPr>
        <w:t>classification scales</w:t>
      </w:r>
    </w:p>
    <w:p>
      <w:pPr/>
      <w:r>
        <w:rPr>
          <w:lang w:val="en-GB"/>
        </w:rPr>
        <w:t>9.</w:t>
      </w:r>
    </w:p>
    <w:p>
      <w:pPr/>
      <w:r>
        <w:rPr>
          <w:lang w:val="en-GB"/>
        </w:rPr>
        <w:t xml:space="preserve">‍ </w:t>
      </w:r>
    </w:p>
    <w:p>
      <w:pPr/>
      <w:r>
        <w:rPr>
          <w:lang w:val="en-GB"/>
        </w:rPr>
        <w:t xml:space="preserve">how the trichological consultation, initial assessment, available evidence and the </w:t>
      </w:r>
    </w:p>
    <w:p>
      <w:pPr/>
      <w:r>
        <w:rPr>
          <w:lang w:val="en-GB"/>
        </w:rPr>
        <w:t>trichological investigations</w:t>
      </w:r>
    </w:p>
    <w:p>
      <w:pPr/>
      <w:r>
        <w:rPr>
          <w:lang w:val="en-GB"/>
        </w:rPr>
        <w:t xml:space="preserve"> outcomes collectively inform a bespoke management plan to include:</w:t>
      </w:r>
    </w:p>
    <w:p>
      <w:pPr/>
      <w:r>
        <w:rPr>
          <w:lang w:val="en-GB"/>
        </w:rPr>
        <w:t>9.1</w:t>
      </w:r>
    </w:p>
    <w:p>
      <w:pPr/>
      <w:r>
        <w:rPr>
          <w:lang w:val="en-GB"/>
        </w:rPr>
        <w:t xml:space="preserve">‍ </w:t>
      </w:r>
    </w:p>
    <w:p>
      <w:pPr/>
      <w:r>
        <w:rPr>
          <w:lang w:val="en-GB"/>
        </w:rPr>
        <w:t>evaluation and interpretation of differential hypotheses </w:t>
      </w:r>
    </w:p>
    <w:p>
      <w:pPr/>
      <w:r>
        <w:rPr>
          <w:lang w:val="en-GB"/>
        </w:rPr>
        <w:t>9.2</w:t>
      </w:r>
    </w:p>
    <w:p>
      <w:pPr/>
      <w:r>
        <w:rPr>
          <w:lang w:val="en-GB"/>
        </w:rPr>
        <w:t xml:space="preserve">‍ </w:t>
      </w:r>
    </w:p>
    <w:p>
      <w:pPr/>
      <w:r>
        <w:rPr>
          <w:lang w:val="en-GB"/>
        </w:rPr>
        <w:t>evaluation and interpretation of clinical reasoning theories</w:t>
      </w:r>
    </w:p>
    <w:p>
      <w:pPr/>
      <w:r>
        <w:rPr>
          <w:lang w:val="en-GB"/>
        </w:rPr>
        <w:t>9.3</w:t>
      </w:r>
    </w:p>
    <w:p>
      <w:pPr/>
      <w:r>
        <w:rPr>
          <w:lang w:val="en-GB"/>
        </w:rPr>
        <w:t xml:space="preserve">‍ </w:t>
      </w:r>
    </w:p>
    <w:p>
      <w:pPr/>
      <w:r>
        <w:rPr>
          <w:lang w:val="en-GB"/>
        </w:rPr>
        <w:t>critical evaluation of the evidence base</w:t>
      </w:r>
    </w:p>
    <w:p>
      <w:pPr/>
      <w:r>
        <w:rPr>
          <w:lang w:val="en-GB"/>
        </w:rPr>
        <w:t>10.</w:t>
      </w:r>
    </w:p>
    <w:p>
      <w:pPr/>
      <w:r>
        <w:rPr>
          <w:lang w:val="en-GB"/>
        </w:rPr>
        <w:t xml:space="preserve">‍ </w:t>
      </w:r>
    </w:p>
    <w:p>
      <w:pPr/>
      <w:r>
        <w:rPr>
          <w:lang w:val="en-GB"/>
        </w:rPr>
        <w:t xml:space="preserve">the anatomy and physiology and </w:t>
      </w:r>
    </w:p>
    <w:p>
      <w:pPr/>
      <w:r>
        <w:rPr>
          <w:lang w:val="en-GB"/>
        </w:rPr>
        <w:t>related sciences</w:t>
      </w:r>
    </w:p>
    <w:p>
      <w:pPr/>
      <w:r>
        <w:rPr>
          <w:lang w:val="en-GB"/>
        </w:rPr>
        <w:t xml:space="preserve"> relevant to this standard </w:t>
      </w:r>
    </w:p>
    <w:p>
      <w:pPr/>
      <w:r>
        <w:rPr>
          <w:lang w:val="en-GB"/>
        </w:rPr>
        <w:t>11.</w:t>
      </w:r>
    </w:p>
    <w:p>
      <w:pPr/>
      <w:r>
        <w:rPr>
          <w:lang w:val="en-GB"/>
        </w:rPr>
        <w:t xml:space="preserve">‍ </w:t>
      </w:r>
    </w:p>
    <w:p>
      <w:pPr/>
      <w:r>
        <w:rPr>
          <w:lang w:val="en-GB"/>
        </w:rPr>
        <w:t xml:space="preserve">the normal and adverse </w:t>
      </w:r>
    </w:p>
    <w:p>
      <w:pPr/>
      <w:r>
        <w:rPr>
          <w:lang w:val="en-GB"/>
        </w:rPr>
        <w:t>signs and patterns</w:t>
      </w:r>
    </w:p>
    <w:p>
      <w:pPr/>
      <w:r>
        <w:rPr>
          <w:lang w:val="en-GB"/>
        </w:rPr>
        <w:t xml:space="preserve"> of trichological conditions across all skin and hair types </w:t>
      </w:r>
    </w:p>
    <w:p>
      <w:pPr/>
      <w:r>
        <w:rPr>
          <w:lang w:val="en-GB"/>
        </w:rPr>
        <w:br/>
      </w:r>
    </w:p>
    <w:p>
      <w:pPr/>
      <w:r>
        <w:rPr>
          <w:lang w:val="en-GB"/>
        </w:rPr>
        <w:t xml:space="preserve">12. the biological variables, associated symptoms, physiological indicators and comorbidities that can contribute to the pathophysiology of the observed hair and scalp changes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89a484eef04e59" /><Relationship Type="http://schemas.openxmlformats.org/officeDocument/2006/relationships/numbering" Target="/word/numbering.xml" Id="R7332a29361bf4a2d" /><Relationship Type="http://schemas.openxmlformats.org/officeDocument/2006/relationships/settings" Target="/word/settings.xml" Id="R5dc5043369324f13" /><Relationship Type="http://schemas.openxmlformats.org/officeDocument/2006/relationships/image" Target="/word/media/314a090e-5cc2-4974-8c98-03006da2bf51.png" Id="R7e1c915903a5446c" /></Relationships>
</file>