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c68728954d4402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SKANSC2</w:t>
            </w:r>
            <w:r>
              <w:rPr>
                <w:b/>
              </w:rPr>
              <w:br/>
            </w:r>
            <w:r>
              <w:rPr>
                <w:b/>
              </w:rPr>
              <w:t>Consult, assess, plan and prepare for elective non-surgical cosmetic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9fb2b8b081c402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aesthetic practitioners carrying out the consultation, assessment, planning and preparation for elective non-surgical cosmetic procedures. This standard is part of the non-surgical cosmetic national occupational standards suite, which includes standards related to botulinum toxin type A, dermal fillers, medium grade chemical skin peels, mesotherapy, advanced micro needling, advanced electrocautery and dermaplaning procedures. You will need to follow the non-surgical cosmetic procedure protocol, legislative, regulatory and organisational requirements to identify, assess and implement safe, hygienic and effective working practices. The aesthetic practitioner must have a First Aid at Work qualification or equivalent and be able to carry out the functions within SFHCHS36: Basic life support and have access to life support equipment as identified in the complication management and/or emergency plan.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 concise and comprehensive non-surgical cosmetic consultation taking account of:</w:t>
      </w:r>
    </w:p>
    <w:p>
      <w:pPr>
        <w:numPr>
          <w:ilvl w:val="1"/>
          <w:numId w:val="1"/>
        </w:numPr>
      </w:pPr>
      <w:r>
        <w:t>the individual's declared medical history and current medical status</w:t>
      </w:r>
    </w:p>
    <w:p>
      <w:pPr>
        <w:numPr>
          <w:ilvl w:val="1"/>
          <w:numId w:val="1"/>
        </w:numPr>
      </w:pPr>
      <w:r>
        <w:t>the individual's procedure history</w:t>
      </w:r>
    </w:p>
    <w:p>
      <w:pPr>
        <w:numPr>
          <w:ilvl w:val="1"/>
          <w:numId w:val="1"/>
        </w:numPr>
      </w:pPr>
      <w:r>
        <w:t>the individual's skin classification, condition, sensitivity and healing capacity of the treatment area</w:t>
      </w:r>
    </w:p>
    <w:p>
      <w:pPr>
        <w:numPr>
          <w:ilvl w:val="1"/>
          <w:numId w:val="1"/>
        </w:numPr>
      </w:pPr>
      <w:r>
        <w:t>the individuals concerns, expectations and desired outcome's</w:t>
      </w:r>
    </w:p>
    <w:p>
      <w:pPr>
        <w:numPr>
          <w:ilvl w:val="1"/>
          <w:numId w:val="1"/>
        </w:numPr>
      </w:pPr>
      <w:r>
        <w:t>the individual's physical and psychological suitability for the non-surgical cosmetic procedure</w:t>
      </w:r>
    </w:p>
    <w:p>
      <w:pPr>
        <w:numPr>
          <w:ilvl w:val="1"/>
          <w:numId w:val="1"/>
        </w:numPr>
      </w:pPr>
      <w:r>
        <w:t>declared relative and absolute contraindications and restrictions</w:t>
      </w:r>
    </w:p>
    <w:p>
      <w:pPr>
        <w:numPr>
          <w:ilvl w:val="0"/>
          <w:numId w:val="1"/>
        </w:numPr>
      </w:pPr>
      <w:r>
        <w:t>recognise, respond and sign-post appropriately in response to any </w:t>
      </w:r>
    </w:p>
    <w:p>
      <w:pPr>
        <w:numPr>
          <w:ilvl w:val="0"/>
          <w:numId w:val="1"/>
        </w:numPr>
      </w:pPr>
      <w:r>
        <w:t>disclosed conditions</w:t>
      </w:r>
    </w:p>
    <w:p>
      <w:pPr>
        <w:numPr>
          <w:ilvl w:val="0"/>
          <w:numId w:val="1"/>
        </w:numPr>
      </w:pPr>
      <w:r>
        <w:t> in compliance with data legislation</w:t>
      </w:r>
    </w:p>
    <w:p>
      <w:pPr>
        <w:numPr>
          <w:ilvl w:val="0"/>
          <w:numId w:val="1"/>
        </w:numPr>
      </w:pPr>
      <w:r>
        <w:t>discuss the individual's objectives, concerns, expectations and desired outcomes to inform the non-surgical cosmetic procedure plan to include:</w:t>
      </w:r>
    </w:p>
    <w:p>
      <w:pPr>
        <w:numPr>
          <w:ilvl w:val="1"/>
          <w:numId w:val="1"/>
        </w:numPr>
      </w:pPr>
      <w:r>
        <w:t>alternative treatment options</w:t>
      </w:r>
    </w:p>
    <w:p>
      <w:pPr>
        <w:numPr>
          <w:ilvl w:val="0"/>
          <w:numId w:val="1"/>
        </w:numPr>
      </w:pPr>
      <w:r>
        <w:t>discuss the fee structures and explain how this can impact the individual's choice of non-surgical cosmetic procedures</w:t>
      </w:r>
    </w:p>
    <w:p>
      <w:pPr>
        <w:numPr>
          <w:ilvl w:val="0"/>
          <w:numId w:val="1"/>
        </w:numPr>
      </w:pPr>
      <w:r>
        <w:t>discuss and agree the skin priming programme or recommendations required prior to the non-surgical cosmetic procedure</w:t>
      </w:r>
    </w:p>
    <w:p>
      <w:pPr>
        <w:numPr>
          <w:ilvl w:val="0"/>
          <w:numId w:val="1"/>
        </w:numPr>
      </w:pPr>
      <w:r>
        <w:t>communicate with the individual to determine their capacity to give informed consent</w:t>
      </w:r>
    </w:p>
    <w:p>
      <w:pPr>
        <w:numPr>
          <w:ilvl w:val="0"/>
          <w:numId w:val="1"/>
        </w:numPr>
      </w:pPr>
      <w:r>
        <w:t>assess, discuss, agree and document the non-surgical cosmetic consultation and expected procedure outcomes and associated risks with the individual</w:t>
      </w:r>
    </w:p>
    <w:p>
      <w:pPr>
        <w:numPr>
          <w:ilvl w:val="0"/>
          <w:numId w:val="1"/>
        </w:numPr>
      </w:pPr>
      <w:r>
        <w:t>inform and provide information to the individual of their </w:t>
      </w:r>
    </w:p>
    <w:p>
      <w:pPr>
        <w:numPr>
          <w:ilvl w:val="0"/>
          <w:numId w:val="1"/>
        </w:numPr>
      </w:pPr>
      <w:r>
        <w:t>rights</w:t>
      </w:r>
    </w:p>
    <w:p>
      <w:pPr>
        <w:numPr>
          <w:ilvl w:val="0"/>
          <w:numId w:val="1"/>
        </w:numPr>
      </w:pPr>
      <w:r>
        <w:t>take and store consensual </w:t>
      </w:r>
    </w:p>
    <w:p>
      <w:pPr>
        <w:numPr>
          <w:ilvl w:val="0"/>
          <w:numId w:val="1"/>
        </w:numPr>
      </w:pPr>
      <w:r>
        <w:t>visual media</w:t>
      </w:r>
    </w:p>
    <w:p>
      <w:pPr>
        <w:numPr>
          <w:ilvl w:val="0"/>
          <w:numId w:val="1"/>
        </w:numPr>
      </w:pPr>
      <w:r>
        <w:t> of the individual's treatment area in accordance with insurance requirements, organisational policies and procedures</w:t>
      </w:r>
    </w:p>
    <w:p>
      <w:pPr>
        <w:numPr>
          <w:ilvl w:val="0"/>
          <w:numId w:val="1"/>
        </w:numPr>
      </w:pPr>
      <w:r>
        <w:t>discuss the physical sensation that may occur during the non-surgical cosmetic  procedure with the individual following the procedure protocol</w:t>
      </w:r>
    </w:p>
    <w:p>
      <w:pPr>
        <w:numPr>
          <w:ilvl w:val="0"/>
          <w:numId w:val="1"/>
        </w:numPr>
      </w:pPr>
      <w:r>
        <w:t>discuss the options for pain management</w:t>
      </w:r>
    </w:p>
    <w:p>
      <w:pPr>
        <w:numPr>
          <w:ilvl w:val="0"/>
          <w:numId w:val="1"/>
        </w:numPr>
      </w:pPr>
      <w:r>
        <w:t>develop the non-surgical cosmetic procedure plan</w:t>
      </w:r>
    </w:p>
    <w:p>
      <w:pPr>
        <w:numPr>
          <w:ilvl w:val="0"/>
          <w:numId w:val="1"/>
        </w:numPr>
      </w:pPr>
      <w:r>
        <w:t>provide and obtain confirmation of receipt of the verbal and written instructions and advice given to the individual pre and post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collaboration with competent professionals to support effective and safe working practices</w:t>
      </w:r>
    </w:p>
    <w:p>
      <w:pPr>
        <w:numPr>
          <w:ilvl w:val="0"/>
          <w:numId w:val="2"/>
        </w:numPr>
      </w:pPr>
      <w:r>
        <w:t>why you must comply with ethical practice and work within the legislative requirements</w:t>
      </w:r>
    </w:p>
    <w:p>
      <w:pPr>
        <w:numPr>
          <w:ilvl w:val="0"/>
          <w:numId w:val="2"/>
        </w:numPr>
      </w:pPr>
      <w:r>
        <w:t>the importance to engage in, and document your continuous professional development to include, current and up-to-date information, policies, procedures and best practice guidance</w:t>
      </w:r>
    </w:p>
    <w:p>
      <w:pPr>
        <w:numPr>
          <w:ilvl w:val="0"/>
          <w:numId w:val="2"/>
        </w:numPr>
      </w:pPr>
      <w:r>
        <w:t>the </w:t>
      </w:r>
    </w:p>
    <w:p>
      <w:pPr>
        <w:numPr>
          <w:ilvl w:val="0"/>
          <w:numId w:val="2"/>
        </w:numPr>
      </w:pPr>
      <w:r>
        <w:t>anatomy and physiology</w:t>
      </w:r>
    </w:p>
    <w:p>
      <w:pPr>
        <w:numPr>
          <w:ilvl w:val="0"/>
          <w:numId w:val="2"/>
        </w:numPr>
      </w:pPr>
      <w:r>
        <w:t> relevant to the standard</w:t>
      </w:r>
    </w:p>
    <w:p>
      <w:pPr>
        <w:numPr>
          <w:ilvl w:val="0"/>
          <w:numId w:val="2"/>
        </w:numPr>
      </w:pPr>
      <w:r>
        <w:t>the contraindications or presenting conditions to include:</w:t>
      </w:r>
    </w:p>
    <w:p>
      <w:pPr>
        <w:numPr>
          <w:ilvl w:val="1"/>
          <w:numId w:val="2"/>
        </w:numPr>
      </w:pPr>
      <w:r>
        <w:t>the reasons for not naming contraindications if outside your competency or remit</w:t>
      </w:r>
    </w:p>
    <w:p>
      <w:pPr>
        <w:numPr>
          <w:ilvl w:val="1"/>
          <w:numId w:val="2"/>
        </w:numPr>
      </w:pPr>
      <w:r>
        <w:t>how and when to refer to other non-healthcare and health care professionals</w:t>
      </w:r>
    </w:p>
    <w:p>
      <w:pPr>
        <w:numPr>
          <w:ilvl w:val="0"/>
          <w:numId w:val="2"/>
        </w:numPr>
      </w:pPr>
      <w:r>
        <w:t>the reasons why medical conditions may contraindicate the non-surgical cosmetic procedure</w:t>
      </w:r>
    </w:p>
    <w:p>
      <w:pPr>
        <w:numPr>
          <w:ilvl w:val="0"/>
          <w:numId w:val="2"/>
        </w:numPr>
      </w:pPr>
      <w:r>
        <w:t>the legislative and insurance requirements for obtaining medical diagnosis and referral</w:t>
      </w:r>
    </w:p>
    <w:p>
      <w:pPr>
        <w:numPr>
          <w:ilvl w:val="0"/>
          <w:numId w:val="2"/>
        </w:numPr>
      </w:pPr>
      <w:r>
        <w:t>the importance of communicating with the individual in a professional manner and within the limits of your own competencies</w:t>
      </w:r>
    </w:p>
    <w:p>
      <w:pPr>
        <w:numPr>
          <w:ilvl w:val="0"/>
          <w:numId w:val="2"/>
        </w:numPr>
      </w:pPr>
      <w:r>
        <w:t>the factors to consider when creating a bespoke non-surgical cosmetic procedure plan</w:t>
      </w:r>
    </w:p>
    <w:p>
      <w:pPr>
        <w:numPr>
          <w:ilvl w:val="0"/>
          <w:numId w:val="2"/>
        </w:numPr>
      </w:pPr>
      <w:r>
        <w:t>why you must develop and agree a non-surgical cosmetic procedure plan to include:</w:t>
      </w:r>
    </w:p>
    <w:p>
      <w:pPr>
        <w:numPr>
          <w:ilvl w:val="1"/>
          <w:numId w:val="2"/>
        </w:numPr>
      </w:pPr>
      <w:r>
        <w:t>declared current medical status</w:t>
      </w:r>
    </w:p>
    <w:p>
      <w:pPr>
        <w:numPr>
          <w:ilvl w:val="1"/>
          <w:numId w:val="2"/>
        </w:numPr>
      </w:pPr>
      <w:r>
        <w:t>procedure history</w:t>
      </w:r>
    </w:p>
    <w:p>
      <w:pPr>
        <w:numPr>
          <w:ilvl w:val="1"/>
          <w:numId w:val="2"/>
        </w:numPr>
      </w:pPr>
      <w:r>
        <w:t>relative and absolute contraindications</w:t>
      </w:r>
    </w:p>
    <w:p>
      <w:pPr>
        <w:numPr>
          <w:ilvl w:val="1"/>
          <w:numId w:val="2"/>
        </w:numPr>
      </w:pPr>
      <w:r>
        <w:t>skin classification</w:t>
      </w:r>
    </w:p>
    <w:p>
      <w:pPr>
        <w:numPr>
          <w:ilvl w:val="1"/>
          <w:numId w:val="2"/>
        </w:numPr>
      </w:pPr>
      <w:r>
        <w:t>, condition and sensitivity</w:t>
      </w:r>
    </w:p>
    <w:p>
      <w:pPr>
        <w:numPr>
          <w:ilvl w:val="1"/>
          <w:numId w:val="2"/>
        </w:numPr>
      </w:pPr>
      <w:r>
        <w:t>skin healing capacity</w:t>
      </w:r>
    </w:p>
    <w:p>
      <w:pPr>
        <w:numPr>
          <w:ilvl w:val="1"/>
          <w:numId w:val="2"/>
        </w:numPr>
      </w:pPr>
      <w:r>
        <w:t>individual's expectations</w:t>
      </w:r>
    </w:p>
    <w:p>
      <w:pPr>
        <w:numPr>
          <w:ilvl w:val="1"/>
          <w:numId w:val="2"/>
        </w:numPr>
      </w:pPr>
      <w:r>
        <w:t>the individual's physical and psychological suitability for the non-surgical cosmetic procedure</w:t>
      </w:r>
    </w:p>
    <w:p>
      <w:pPr>
        <w:numPr>
          <w:ilvl w:val="0"/>
          <w:numId w:val="2"/>
        </w:numPr>
      </w:pPr>
      <w:r>
        <w:t>the relationship between social, physical, psychological and physiological needs and the procedure objectives</w:t>
      </w:r>
    </w:p>
    <w:p>
      <w:pPr>
        <w:numPr>
          <w:ilvl w:val="0"/>
          <w:numId w:val="2"/>
        </w:numPr>
      </w:pPr>
      <w:r>
        <w:t>the impact of social influences, the media and trends</w:t>
      </w:r>
    </w:p>
    <w:p>
      <w:pPr>
        <w:numPr>
          <w:ilvl w:val="0"/>
          <w:numId w:val="2"/>
        </w:numPr>
      </w:pPr>
      <w:r>
        <w:t>how your own continuous professional development can support the individual to make an informed choice to include:</w:t>
      </w:r>
    </w:p>
    <w:p>
      <w:pPr>
        <w:numPr>
          <w:ilvl w:val="1"/>
          <w:numId w:val="2"/>
        </w:numPr>
      </w:pPr>
      <w:r>
        <w:t>alternative treatment options</w:t>
      </w:r>
    </w:p>
    <w:p>
      <w:pPr>
        <w:numPr>
          <w:ilvl w:val="0"/>
          <w:numId w:val="2"/>
        </w:numPr>
      </w:pPr>
      <w:r>
        <w:t>the relevance of establishing the pre-procedural activities relevant to the procedure objectives</w:t>
      </w:r>
    </w:p>
    <w:p>
      <w:pPr>
        <w:numPr>
          <w:ilvl w:val="0"/>
          <w:numId w:val="2"/>
        </w:numPr>
      </w:pPr>
      <w:r>
        <w:t>the importance of assessing, discussing, agreeing, reviewing and documenting the non-surgical cosmetic consultation outcomes</w:t>
      </w:r>
    </w:p>
    <w:p>
      <w:pPr>
        <w:numPr>
          <w:ilvl w:val="0"/>
          <w:numId w:val="2"/>
        </w:numPr>
      </w:pPr>
      <w:r>
        <w:t>the importance of explaining the procedure process, expected outcomes and associated risks</w:t>
      </w:r>
    </w:p>
    <w:p>
      <w:pPr>
        <w:numPr>
          <w:ilvl w:val="0"/>
          <w:numId w:val="2"/>
        </w:numPr>
      </w:pPr>
      <w:r>
        <w:t>the benefits of using visual aids during consultation</w:t>
      </w:r>
    </w:p>
    <w:p>
      <w:pPr>
        <w:numPr>
          <w:ilvl w:val="0"/>
          <w:numId w:val="2"/>
        </w:numPr>
      </w:pPr>
      <w:r>
        <w:t>how to manage the individual's expectations</w:t>
      </w:r>
    </w:p>
    <w:p>
      <w:pPr>
        <w:numPr>
          <w:ilvl w:val="0"/>
          <w:numId w:val="2"/>
        </w:numPr>
      </w:pPr>
      <w:r>
        <w:t>the legislative and indemnity requirements of gaining signed, informed consent for the non-surgical cosmetic procedure</w:t>
      </w:r>
    </w:p>
    <w:p>
      <w:pPr>
        <w:numPr>
          <w:ilvl w:val="0"/>
          <w:numId w:val="2"/>
        </w:numPr>
      </w:pPr>
      <w:r>
        <w:t>the legislative requirements for gaining, recording, storing, protecting and retaining the individual's data</w:t>
      </w:r>
    </w:p>
    <w:p>
      <w:pPr>
        <w:numPr>
          <w:ilvl w:val="0"/>
          <w:numId w:val="2"/>
        </w:numPr>
      </w:pPr>
      <w:r>
        <w:t>why non-surgical cosmetic procedures are prohibited or restricted for minors</w:t>
      </w:r>
    </w:p>
    <w:p>
      <w:pPr>
        <w:numPr>
          <w:ilvl w:val="0"/>
          <w:numId w:val="2"/>
        </w:numPr>
      </w:pPr>
      <w:r>
        <w:t>the age at which an individual is classed as a minor and how this differs nationally</w:t>
      </w:r>
    </w:p>
    <w:p>
      <w:pPr>
        <w:numPr>
          <w:ilvl w:val="0"/>
          <w:numId w:val="2"/>
        </w:numPr>
      </w:pPr>
      <w:r>
        <w:t>the legislative requirements which sets out the rights of the individual and the practitioner</w:t>
      </w:r>
    </w:p>
    <w:p>
      <w:pPr>
        <w:numPr>
          <w:ilvl w:val="0"/>
          <w:numId w:val="2"/>
        </w:numPr>
      </w:pPr>
      <w:r>
        <w:t>the importance of explaining the physical sensation created by the procedure to the individual to include:</w:t>
      </w:r>
    </w:p>
    <w:p>
      <w:pPr>
        <w:numPr>
          <w:ilvl w:val="1"/>
          <w:numId w:val="2"/>
        </w:numPr>
      </w:pPr>
      <w:r>
        <w:t>how pain threshold and sensitivity varies from individual to individual</w:t>
      </w:r>
    </w:p>
    <w:p>
      <w:pPr>
        <w:numPr>
          <w:ilvl w:val="0"/>
          <w:numId w:val="2"/>
        </w:numPr>
      </w:pPr>
      <w:r>
        <w:t>the types of pain management and associated risks</w:t>
      </w:r>
    </w:p>
    <w:p>
      <w:pPr>
        <w:numPr>
          <w:ilvl w:val="0"/>
          <w:numId w:val="2"/>
        </w:numPr>
      </w:pPr>
      <w:r>
        <w:t>the legislative, insurance and organisational requirements for taking and storing visual media of the individual's treatment area</w:t>
      </w:r>
    </w:p>
    <w:p>
      <w:pPr>
        <w:numPr>
          <w:ilvl w:val="0"/>
          <w:numId w:val="2"/>
        </w:numPr>
      </w:pPr>
      <w:r>
        <w:t>the legislative and regulatory requirements of completing and storing the individuals' non-surgical cosmetic procedure records</w:t>
      </w:r>
    </w:p>
    <w:p>
      <w:pPr>
        <w:numPr>
          <w:ilvl w:val="0"/>
          <w:numId w:val="2"/>
        </w:numPr>
      </w:pPr>
      <w:r>
        <w:t>the reasons for providing and obtaining confirmation of receipt from the individual for the verbal and written </w:t>
      </w:r>
    </w:p>
    <w:p>
      <w:pPr>
        <w:numPr>
          <w:ilvl w:val="0"/>
          <w:numId w:val="2"/>
        </w:numPr>
      </w:pPr>
      <w:r>
        <w:t>instructions</w:t>
      </w:r>
    </w:p>
    <w:p>
      <w:pPr>
        <w:numPr>
          <w:ilvl w:val="0"/>
          <w:numId w:val="2"/>
        </w:numPr>
      </w:pPr>
      <w:r>
        <w:t> and advice pre and post the non-surgical cosmetic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Disclosed conditions</w:t>
      </w:r>
    </w:p>
    <w:p>
      <w:pPr>
        <w:numPr>
          <w:ilvl w:val="0"/>
          <w:numId w:val="3"/>
        </w:numPr>
      </w:pPr>
      <w:r>
        <w:t>contraindications</w:t>
      </w:r>
    </w:p>
    <w:p>
      <w:pPr>
        <w:numPr>
          <w:ilvl w:val="0"/>
          <w:numId w:val="3"/>
        </w:numPr>
      </w:pPr>
      <w:r>
        <w:t>body dysmorphic disorders</w:t>
      </w:r>
    </w:p>
    <w:p>
      <w:pPr>
        <w:numPr>
          <w:ilvl w:val="0"/>
          <w:numId w:val="3"/>
        </w:numPr>
      </w:pPr>
      <w:r>
        <w:t>physical, and psychological condition</w:t>
      </w:r>
    </w:p>
    <w:p>
      <w:pPr>
        <w:numPr>
          <w:ilvl w:val="0"/>
          <w:numId w:val="3"/>
        </w:numPr>
      </w:pPr>
      <w:r>
        <w:t>safeguarding</w:t>
      </w:r>
    </w:p>
    <w:p>
      <w:pPr>
        <w:numPr>
          <w:ilvl w:val="0"/>
          <w:numId w:val="3"/>
        </w:numPr>
      </w:pPr>
      <w:r>
        <w:t>vulnerability issues</w:t>
      </w:r>
    </w:p>
    <w:p>
      <w:pPr/>
      <w:r>
        <w:rPr>
          <w:lang w:val="en-GB"/>
        </w:rPr>
        <w:br/>
      </w:r>
    </w:p>
    <w:p>
      <w:pPr/>
      <w:r>
        <w:rPr>
          <w:lang w:val="en-GB"/>
        </w:rPr>
        <w:t>Rights</w:t>
      </w:r>
    </w:p>
    <w:p>
      <w:pPr>
        <w:numPr>
          <w:ilvl w:val="0"/>
          <w:numId w:val="4"/>
        </w:numPr>
      </w:pPr>
      <w:r>
        <w:t>reflection time/period to make an informed choice</w:t>
      </w:r>
    </w:p>
    <w:p>
      <w:pPr>
        <w:numPr>
          <w:ilvl w:val="0"/>
          <w:numId w:val="4"/>
        </w:numPr>
      </w:pPr>
      <w:r>
        <w:t>informed consent</w:t>
      </w:r>
    </w:p>
    <w:p>
      <w:pPr>
        <w:numPr>
          <w:ilvl w:val="0"/>
          <w:numId w:val="4"/>
        </w:numPr>
      </w:pPr>
      <w:r>
        <w:t>financial/contractual agreement</w:t>
      </w:r>
    </w:p>
    <w:p>
      <w:pPr>
        <w:numPr>
          <w:ilvl w:val="0"/>
          <w:numId w:val="4"/>
        </w:numPr>
      </w:pPr>
      <w:r>
        <w:t>post procedure support and review</w:t>
      </w:r>
    </w:p>
    <w:p>
      <w:pPr>
        <w:numPr>
          <w:ilvl w:val="0"/>
          <w:numId w:val="4"/>
        </w:numPr>
      </w:pPr>
      <w:r>
        <w:t>the right to request the practitioner's qualifications, training and indemnity insurance</w:t>
      </w:r>
    </w:p>
    <w:p>
      <w:pPr/>
      <w:r>
        <w:rPr>
          <w:lang w:val="en-GB"/>
        </w:rPr>
        <w:br/>
      </w:r>
    </w:p>
    <w:p>
      <w:pPr/>
      <w:r>
        <w:rPr>
          <w:lang w:val="en-GB"/>
        </w:rPr>
        <w:t>Visual media</w:t>
      </w:r>
    </w:p>
    <w:p>
      <w:pPr>
        <w:numPr>
          <w:ilvl w:val="0"/>
          <w:numId w:val="5"/>
        </w:numPr>
      </w:pPr>
      <w:r>
        <w:t>photographic</w:t>
      </w:r>
    </w:p>
    <w:p>
      <w:pPr>
        <w:numPr>
          <w:ilvl w:val="0"/>
          <w:numId w:val="5"/>
        </w:numPr>
      </w:pPr>
      <w:r>
        <w:t>video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Anatomy and Physiology</w:t>
      </w:r>
    </w:p>
    <w:p>
      <w:pPr>
        <w:numPr>
          <w:ilvl w:val="0"/>
          <w:numId w:val="6"/>
        </w:numPr>
      </w:pPr>
      <w:r>
        <w:t>the structure and function of the body systems and their interdependence on each other</w:t>
      </w:r>
    </w:p>
    <w:p>
      <w:pPr>
        <w:numPr>
          <w:ilvl w:val="0"/>
          <w:numId w:val="6"/>
        </w:numPr>
      </w:pPr>
      <w:r>
        <w:t>the intrinsic and extrinsic factors of the skin</w:t>
      </w:r>
    </w:p>
    <w:p>
      <w:pPr>
        <w:numPr>
          <w:ilvl w:val="0"/>
          <w:numId w:val="6"/>
        </w:numPr>
      </w:pPr>
      <w:r>
        <w:t>associated risk avoidance protocol or danger zones</w:t>
      </w:r>
    </w:p>
    <w:p>
      <w:pPr/>
      <w:r>
        <w:rPr>
          <w:lang w:val="en-GB"/>
        </w:rPr>
        <w:br/>
      </w:r>
    </w:p>
    <w:p>
      <w:pPr/>
      <w:r>
        <w:rPr>
          <w:lang w:val="en-GB"/>
        </w:rPr>
        <w:t>Skin classification</w:t>
      </w:r>
    </w:p>
    <w:p>
      <w:pPr>
        <w:numPr>
          <w:ilvl w:val="0"/>
          <w:numId w:val="7"/>
        </w:numPr>
      </w:pPr>
      <w:r>
        <w:t>Fitzpatrick scale</w:t>
      </w:r>
    </w:p>
    <w:p>
      <w:pPr>
        <w:numPr>
          <w:ilvl w:val="0"/>
          <w:numId w:val="7"/>
        </w:numPr>
      </w:pPr>
      <w:r>
        <w:t>Glogau photo-damage</w:t>
      </w:r>
    </w:p>
    <w:p>
      <w:pPr/>
      <w:r>
        <w:rPr>
          <w:lang w:val="en-GB"/>
        </w:rPr>
        <w:br/>
      </w:r>
    </w:p>
    <w:p>
      <w:pPr/>
      <w:r>
        <w:rPr>
          <w:lang w:val="en-GB"/>
        </w:rPr>
        <w:t>Instructions</w:t>
      </w:r>
    </w:p>
    <w:p>
      <w:pPr>
        <w:numPr>
          <w:ilvl w:val="0"/>
          <w:numId w:val="8"/>
        </w:numPr>
      </w:pPr>
      <w:r>
        <w:t>the individual and aesthetic practitioner's legal rights and responsibilities</w:t>
      </w:r>
    </w:p>
    <w:p>
      <w:pPr>
        <w:numPr>
          <w:ilvl w:val="0"/>
          <w:numId w:val="8"/>
        </w:numPr>
      </w:pPr>
      <w:r>
        <w:t>immediate and ongoing support and advice</w:t>
      </w:r>
    </w:p>
    <w:p>
      <w:pPr>
        <w:numPr>
          <w:ilvl w:val="0"/>
          <w:numId w:val="8"/>
        </w:numPr>
      </w:pPr>
      <w:r>
        <w:t>complication management and/or emergency plan</w:t>
      </w:r>
    </w:p>
    <w:p>
      <w:pPr>
        <w:numPr>
          <w:ilvl w:val="0"/>
          <w:numId w:val="8"/>
        </w:numPr>
      </w:pPr>
      <w:r>
        <w:t>post procedure expectations and associated time frames</w:t>
      </w:r>
    </w:p>
    <w:p>
      <w:pPr>
        <w:numPr>
          <w:ilvl w:val="0"/>
          <w:numId w:val="8"/>
        </w:numPr>
      </w:pPr>
      <w:r>
        <w:t>pre and post procedure instructions and care</w:t>
      </w:r>
    </w:p>
    <w:p>
      <w:pPr>
        <w:numPr>
          <w:ilvl w:val="0"/>
          <w:numId w:val="8"/>
        </w:numPr>
      </w:pPr>
      <w:r>
        <w:t>restrictions and associated risks</w:t>
      </w:r>
    </w:p>
    <w:p>
      <w:pPr>
        <w:numPr>
          <w:ilvl w:val="0"/>
          <w:numId w:val="8"/>
        </w:numPr>
      </w:pPr>
      <w:r>
        <w:t>future procedures</w:t>
      </w:r>
    </w:p>
    <w:p>
      <w:pPr>
        <w:numPr>
          <w:ilvl w:val="0"/>
          <w:numId w:val="8"/>
        </w:numPr>
      </w:pPr>
      <w:r>
        <w:t>complaints procedure or concerns protocol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Visual media</w:t>
      </w:r>
    </w:p>
    <w:p>
      <w:pPr/>
      <w:r>
        <w:rPr>
          <w:lang w:val="en-GB"/>
        </w:rPr>
        <w:t xml:space="preserve"> </w:t>
      </w:r>
    </w:p>
    <w:p>
      <w:pPr/>
      <w:r>
        <w:rPr>
          <w:lang w:val="en-GB"/>
        </w:rPr>
        <w:br/>
      </w:r>
    </w:p>
    <w:p>
      <w:pPr/>
      <w:r>
        <w:rPr>
          <w:lang w:val="en-GB"/>
        </w:rPr>
        <w:t xml:space="preserve"> Visual media is evidence generated through photography or video.</w:t>
      </w:r>
    </w:p>
    <w:p>
      <w:pPr/>
      <w:r>
        <w:rPr>
          <w:lang w:val="en-GB"/>
          <w:b/>
        </w:rPr>
        <w:t>Links to other NOS</w:t>
      </w:r>
      <w:r>
        <w:rPr>
          <w:lang w:val="en-GB"/>
          <w:b/>
        </w:rPr>
        <w:br/>
      </w:r>
    </w:p>
    <w:p>
      <w:pPr/>
      <w:r>
        <w:rPr>
          <w:lang w:val="en-GB"/>
        </w:rPr>
        <w:t>SKANSC1, ​SKANSC3, ​SKANSC4, ​SKANSC5, ​SKANSC6, ​SKANSC7, ​SKANSC8 and ​SKANSC9</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25 Mar 2020</w:t>
      </w:r>
      <w:r>
        <w:rPr>
          <w:lang w:val="en-GB"/>
        </w:rPr>
        <w:br/>
      </w:r>
    </w:p>
    <w:p>
      <w:pPr/>
      <w:r>
        <w:rPr>
          <w:lang w:val="en-GB"/>
          <w:b/>
        </w:rPr>
        <w:t>Indicative Review Date</w:t>
      </w:r>
    </w:p>
    <w:p>
      <w:pPr/>
      <w:r>
        <w:rPr>
          <w:lang w:val="en-GB"/>
        </w:rPr>
        <w:t>25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Beauty Aesthetics, Aesthetic Practitioner</w:t>
      </w:r>
      <w:r>
        <w:rPr>
          <w:lang w:val="en-GB"/>
        </w:rPr>
        <w:br/>
      </w:r>
    </w:p>
    <w:p>
      <w:pPr/>
      <w:r>
        <w:rPr>
          <w:lang w:val="en-GB"/>
          <w:b/>
        </w:rPr>
        <w:t>Suite</w:t>
      </w:r>
    </w:p>
    <w:p>
      <w:pPr/>
      <w:r>
        <w:rPr>
          <w:lang w:val="en-GB"/>
        </w:rPr>
        <w:t>Non-surgical Cosmetic Procedures</w:t>
      </w:r>
      <w:r>
        <w:rPr>
          <w:lang w:val="en-GB"/>
        </w:rPr>
        <w:br/>
      </w:r>
    </w:p>
    <w:p>
      <w:pPr/>
      <w:r>
        <w:rPr>
          <w:lang w:val="en-GB"/>
          <w:b/>
        </w:rPr>
        <w:t>Keywords</w:t>
      </w:r>
    </w:p>
    <w:p>
      <w:pPr/>
      <w:r>
        <w:rPr>
          <w:lang w:val="en-GB"/>
        </w:rPr>
        <w:t>Consultation, assess, procedure plan, prepare, contraindications, communication, procedure protocol, botulinum toxin, dermal fillers, medium grade chemical skin peels, mesotherapy, advanced micro needling, advanced electrocautery, dermaplaning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E498F8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5B2589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AFBB5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A3FCE2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95D4DB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DEDFEF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47E680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6167AA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20b7065f87048e6" /><Relationship Type="http://schemas.openxmlformats.org/officeDocument/2006/relationships/numbering" Target="/word/numbering.xml" Id="Ra2d86a623ef04b6b" /><Relationship Type="http://schemas.openxmlformats.org/officeDocument/2006/relationships/settings" Target="/word/settings.xml" Id="R9618d14d658e4006" /><Relationship Type="http://schemas.openxmlformats.org/officeDocument/2006/relationships/image" Target="/word/media/376f4683-ebb5-433f-99a1-644ada92f9d5.png" Id="R89fb2b8b081c4020" /></Relationships>
</file>